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bookmarkStart w:id="0" w:name="_GoBack"/>
      <w:bookmarkEnd w:id="0"/>
      <w:r w:rsidRPr="0046236D">
        <w:rPr>
          <w:rFonts w:ascii="Liberation Serif" w:hAnsi="Liberation Serif"/>
        </w:rPr>
        <w:t xml:space="preserve">Приложение </w:t>
      </w:r>
    </w:p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к постановлению</w:t>
      </w:r>
      <w:r w:rsidR="00CB0A19" w:rsidRPr="0046236D">
        <w:rPr>
          <w:rFonts w:ascii="Liberation Serif" w:hAnsi="Liberation Serif"/>
        </w:rPr>
        <w:t xml:space="preserve"> </w:t>
      </w:r>
    </w:p>
    <w:p w:rsidR="00CB0A19" w:rsidRPr="0046236D" w:rsidRDefault="00C00751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Администрации</w:t>
      </w:r>
      <w:r w:rsidR="00CB0A19" w:rsidRPr="0046236D">
        <w:rPr>
          <w:rFonts w:ascii="Liberation Serif" w:hAnsi="Liberation Serif"/>
        </w:rPr>
        <w:t xml:space="preserve"> </w:t>
      </w:r>
      <w:r w:rsidR="00C81EF3" w:rsidRPr="0046236D">
        <w:rPr>
          <w:rFonts w:ascii="Liberation Serif" w:hAnsi="Liberation Serif"/>
        </w:rPr>
        <w:t>поселка</w:t>
      </w:r>
    </w:p>
    <w:p w:rsidR="00C81EF3" w:rsidRPr="0046236D" w:rsidRDefault="001D40F9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от </w:t>
      </w:r>
      <w:r w:rsidR="005B04FC">
        <w:rPr>
          <w:rFonts w:ascii="Liberation Serif" w:hAnsi="Liberation Serif"/>
        </w:rPr>
        <w:t>17.01.</w:t>
      </w:r>
      <w:r w:rsidR="00892E14" w:rsidRPr="0046236D">
        <w:rPr>
          <w:rFonts w:ascii="Liberation Serif" w:hAnsi="Liberation Serif"/>
        </w:rPr>
        <w:t>20</w:t>
      </w:r>
      <w:r w:rsidR="005B04FC">
        <w:rPr>
          <w:rFonts w:ascii="Liberation Serif" w:hAnsi="Liberation Serif"/>
        </w:rPr>
        <w:t>20</w:t>
      </w:r>
      <w:r w:rsidR="00CB0A19" w:rsidRPr="0046236D">
        <w:rPr>
          <w:rFonts w:ascii="Liberation Serif" w:hAnsi="Liberation Serif"/>
        </w:rPr>
        <w:t xml:space="preserve"> № </w:t>
      </w:r>
      <w:r w:rsidR="005B04FC">
        <w:rPr>
          <w:rFonts w:ascii="Liberation Serif" w:hAnsi="Liberation Serif"/>
        </w:rPr>
        <w:t>6</w:t>
      </w:r>
      <w:r w:rsidR="00933085" w:rsidRPr="0046236D">
        <w:rPr>
          <w:rFonts w:ascii="Liberation Serif" w:hAnsi="Liberation Serif"/>
        </w:rPr>
        <w:t>-ПА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Муниципальная программа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tabs>
          <w:tab w:val="left" w:pos="142"/>
        </w:tabs>
        <w:spacing w:after="0" w:line="240" w:lineRule="auto"/>
        <w:jc w:val="center"/>
        <w:rPr>
          <w:rFonts w:ascii="Liberation Serif" w:hAnsi="Liberation Serif"/>
        </w:rPr>
      </w:pPr>
      <w:proofErr w:type="spellStart"/>
      <w:r w:rsidRPr="0046236D">
        <w:rPr>
          <w:rFonts w:ascii="Liberation Serif" w:hAnsi="Liberation Serif"/>
        </w:rPr>
        <w:t>п.Уренгой</w:t>
      </w:r>
      <w:proofErr w:type="spellEnd"/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lastRenderedPageBreak/>
        <w:t>ПАСПОРТ</w:t>
      </w:r>
    </w:p>
    <w:p w:rsidR="00A22099" w:rsidRPr="0046236D" w:rsidRDefault="00A2209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муниципальной программы</w:t>
      </w:r>
    </w:p>
    <w:p w:rsidR="002E5E5F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B0A19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2E5E5F" w:rsidRPr="0046236D" w:rsidRDefault="002E5E5F" w:rsidP="002E5E5F">
      <w:pPr>
        <w:spacing w:after="0" w:line="240" w:lineRule="auto"/>
        <w:jc w:val="center"/>
        <w:rPr>
          <w:rFonts w:ascii="Liberation Serif" w:hAnsi="Liberation Serif"/>
          <w:b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3"/>
        <w:gridCol w:w="50"/>
        <w:gridCol w:w="2768"/>
        <w:gridCol w:w="3610"/>
      </w:tblGrid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Администрация муниципального образования поселок Уренгой (далее Администрация поселка)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44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Соисполнители</w:t>
            </w:r>
          </w:p>
          <w:p w:rsidR="00CB0A19" w:rsidRPr="0046236D" w:rsidRDefault="0072294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 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A11934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Отделы</w:t>
            </w:r>
            <w:r w:rsidR="005C4E6B" w:rsidRPr="0046236D">
              <w:rPr>
                <w:rFonts w:ascii="Liberation Serif" w:hAnsi="Liberation Serif"/>
                <w:sz w:val="24"/>
                <w:szCs w:val="24"/>
              </w:rPr>
              <w:t xml:space="preserve"> Администрации поселка;</w:t>
            </w:r>
          </w:p>
          <w:p w:rsidR="005C4E6B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Муниципальные учреждения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Цели </w:t>
            </w:r>
            <w:r w:rsidR="00DF0506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2C6765" w:rsidRPr="0046236D">
              <w:rPr>
                <w:rFonts w:ascii="Liberation Serif" w:hAnsi="Liberation Serif"/>
                <w:sz w:val="24"/>
                <w:szCs w:val="24"/>
              </w:rPr>
              <w:t>Повышение комфортности жизнедеятельности населения.</w:t>
            </w:r>
          </w:p>
          <w:p w:rsidR="007B6D6D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Повышение социальной удовлетворенности населения.</w:t>
            </w:r>
          </w:p>
          <w:p w:rsidR="003778CA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Формирование правовой основы для осуществления град</w:t>
            </w:r>
            <w:r w:rsidR="00E5146D" w:rsidRPr="0046236D">
              <w:rPr>
                <w:rFonts w:ascii="Liberation Serif" w:hAnsi="Liberation Serif"/>
                <w:sz w:val="24"/>
                <w:szCs w:val="24"/>
              </w:rPr>
              <w:t>остроительной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деятельности на территории муниципального образования.</w:t>
            </w:r>
          </w:p>
          <w:p w:rsidR="00B977AC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161AC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B977AC" w:rsidRPr="0046236D">
              <w:rPr>
                <w:rFonts w:ascii="Liberation Serif" w:hAnsi="Liberation Serif"/>
                <w:sz w:val="24"/>
                <w:szCs w:val="24"/>
              </w:rPr>
              <w:t>Повышение темпов экономического роста муниципального образования</w:t>
            </w:r>
            <w:r w:rsidR="00395DA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Задачи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D" w:rsidRPr="0046236D" w:rsidRDefault="00816DA2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Создание среды, благоприятной для жизни и развития человека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842CB" w:rsidRPr="0046236D" w:rsidRDefault="00AB2D17" w:rsidP="00DA3177">
            <w:pPr>
              <w:pStyle w:val="ConsPlusCell"/>
              <w:tabs>
                <w:tab w:val="left" w:pos="384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</w:t>
            </w:r>
            <w:r w:rsidR="003778CA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</w:t>
            </w:r>
            <w:r w:rsidR="00D27C2A" w:rsidRPr="0046236D">
              <w:rPr>
                <w:rFonts w:ascii="Liberation Serif" w:hAnsi="Liberation Serif"/>
                <w:sz w:val="24"/>
                <w:szCs w:val="24"/>
              </w:rPr>
              <w:t>увеличения</w:t>
            </w:r>
            <w:r w:rsidR="004C700A" w:rsidRPr="0046236D">
              <w:rPr>
                <w:rFonts w:ascii="Liberation Serif" w:hAnsi="Liberation Serif"/>
                <w:sz w:val="24"/>
                <w:szCs w:val="24"/>
              </w:rPr>
              <w:t xml:space="preserve"> услуг культурно-бытового назначения и жилищно-коммунального хозяйства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7B6D6D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Ф</w:t>
            </w:r>
            <w:r w:rsidR="00665F07" w:rsidRPr="0046236D">
              <w:rPr>
                <w:rFonts w:ascii="Liberation Serif" w:hAnsi="Liberation Serif"/>
                <w:sz w:val="24"/>
                <w:szCs w:val="24"/>
              </w:rPr>
              <w:t>ормирование системы документов территориального планирования и документации по планировке территорий</w:t>
            </w:r>
            <w:r w:rsidR="00F71FE6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B0A19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2F051A" w:rsidRPr="0046236D">
              <w:rPr>
                <w:rFonts w:ascii="Liberation Serif" w:hAnsi="Liberation Serif"/>
                <w:sz w:val="24"/>
                <w:szCs w:val="24"/>
              </w:rPr>
              <w:t>Развитие информационной и консультационной поддержки малого  и среднего предпринимательства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B113A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Сроки реализации муниципаль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>ной программы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6236D" w:rsidRDefault="00A2209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B0A19" w:rsidRPr="0046236D" w:rsidRDefault="00B113A4" w:rsidP="00472EB2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2014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-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20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>2</w:t>
            </w:r>
            <w:r w:rsidR="00472EB2">
              <w:rPr>
                <w:rFonts w:ascii="Liberation Serif" w:hAnsi="Liberation Serif"/>
                <w:sz w:val="24"/>
                <w:szCs w:val="24"/>
              </w:rPr>
              <w:t>4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</w:tr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жилой площадью.</w:t>
            </w:r>
          </w:p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благоустройства</w:t>
            </w:r>
            <w:r w:rsidR="00CF0D50" w:rsidRPr="0046236D">
              <w:rPr>
                <w:rFonts w:ascii="Liberation Serif" w:hAnsi="Liberation Serif"/>
                <w:sz w:val="24"/>
                <w:szCs w:val="24"/>
              </w:rPr>
              <w:t xml:space="preserve"> в соответствии с нормативами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Протяженность улично-дорожной сети.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Количество культурно-досуговых и спортивных учреждений.</w:t>
            </w:r>
          </w:p>
          <w:p w:rsidR="00F46358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  <w:r w:rsidR="004618FD" w:rsidRPr="0046236D">
              <w:rPr>
                <w:rFonts w:ascii="Liberation Serif" w:hAnsi="Liberation Serif"/>
                <w:sz w:val="24"/>
                <w:szCs w:val="24"/>
              </w:rPr>
              <w:t>Повышение качества муниципального управления и муниципальных услуг.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6. Утверждение Генерального плана муниципального образования.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C81925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8.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предпринимательства.</w:t>
            </w:r>
          </w:p>
          <w:p w:rsidR="00C81925" w:rsidRPr="0046236D" w:rsidRDefault="00106BDA" w:rsidP="00DA3177">
            <w:pPr>
              <w:pStyle w:val="ConsPlusCell"/>
              <w:tabs>
                <w:tab w:val="left" w:pos="4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9. Участие субъектов малого и среднего предпринимательства для выполнения муниципальных заказов на поставку товаров, выполнение работ, оказание услуг от цены муниципальных заказов муниципального образования в ценах предыдущего года.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Программно-целевые инструменты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3732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>В рамках Муниципальной программы не предусмотрена реализация  целевых программ ведомств.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Развитие муниципальной политики и совершенствование муниципального управления.</w:t>
            </w:r>
          </w:p>
          <w:p w:rsidR="008B2D8F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74DAA" w:rsidRPr="0046236D">
              <w:rPr>
                <w:rFonts w:ascii="Liberation Serif" w:hAnsi="Liberation Serif"/>
                <w:sz w:val="24"/>
                <w:szCs w:val="24"/>
              </w:rPr>
              <w:t>Развитие жилищно-коммунального хозяйства, дорожного хозяйства и транспортной инфраструктуры</w:t>
            </w:r>
            <w:r w:rsidR="0020742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07424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Развитие социальной сферы.</w:t>
            </w:r>
          </w:p>
          <w:p w:rsidR="00BA6D41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</w:t>
            </w:r>
            <w:r w:rsidR="00A94D53" w:rsidRPr="0046236D">
              <w:rPr>
                <w:rFonts w:ascii="Liberation Serif" w:hAnsi="Liberation Serif"/>
                <w:sz w:val="24"/>
                <w:szCs w:val="24"/>
              </w:rPr>
              <w:t xml:space="preserve"> Обеспечение реализации муниципальной программы.</w:t>
            </w:r>
          </w:p>
        </w:tc>
      </w:tr>
      <w:tr w:rsidR="00472EB2" w:rsidRPr="001D7700" w:rsidTr="004D08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 w:val="restart"/>
          </w:tcPr>
          <w:p w:rsidR="00472EB2" w:rsidRPr="001D7700" w:rsidRDefault="00472EB2" w:rsidP="007838D5">
            <w:pPr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Ресурсное обеспечение программы</w:t>
            </w:r>
          </w:p>
          <w:p w:rsidR="00472EB2" w:rsidRPr="001D7700" w:rsidRDefault="00472EB2" w:rsidP="00DA3177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</w:tcPr>
          <w:p w:rsidR="00472EB2" w:rsidRPr="001D7700" w:rsidRDefault="00472EB2" w:rsidP="004D08CA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3610" w:type="dxa"/>
          </w:tcPr>
          <w:p w:rsidR="00472EB2" w:rsidRPr="001D7700" w:rsidRDefault="00472EB2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 xml:space="preserve">Объём финансирования муниципальной программы, утвержденный решением Собрания депутатов муниципального образования поселок Уренгой о бюджете, </w:t>
            </w:r>
          </w:p>
          <w:p w:rsidR="00472EB2" w:rsidRPr="001D7700" w:rsidRDefault="00472EB2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>тыс. руб.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Всего, в том числе: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C04FCA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3 369 718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2014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330 493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2015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349 995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2016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319 367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2017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348 629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2018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348 450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2019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9554C3" w:rsidP="006D115D">
            <w:pPr>
              <w:spacing w:after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558 325</w:t>
            </w:r>
          </w:p>
        </w:tc>
      </w:tr>
      <w:tr w:rsidR="00472EB2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2020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444 525</w:t>
            </w:r>
          </w:p>
        </w:tc>
      </w:tr>
      <w:tr w:rsidR="00472EB2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334 540</w:t>
            </w:r>
          </w:p>
        </w:tc>
      </w:tr>
      <w:tr w:rsidR="00472EB2" w:rsidRPr="001D7700" w:rsidTr="004A2B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D93D23" w:rsidRDefault="00D93D23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D93D23">
              <w:rPr>
                <w:rFonts w:ascii="Liberation Serif" w:hAnsi="Liberation Serif"/>
              </w:rPr>
              <w:t>335 394</w:t>
            </w:r>
          </w:p>
        </w:tc>
      </w:tr>
      <w:tr w:rsidR="00472EB2" w:rsidRPr="001D7700" w:rsidTr="004A2B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4A2B6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4A2B67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0,00</w:t>
            </w:r>
          </w:p>
        </w:tc>
      </w:tr>
      <w:tr w:rsidR="00472EB2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472EB2" w:rsidRPr="001D7700" w:rsidRDefault="00472EB2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2" w:rsidRPr="001D7700" w:rsidRDefault="00472EB2" w:rsidP="004A2B6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2" w:rsidRPr="001D7700" w:rsidRDefault="00472EB2" w:rsidP="004A2B67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0,00</w:t>
            </w:r>
          </w:p>
        </w:tc>
      </w:tr>
      <w:tr w:rsidR="00472EB2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4"/>
            <w:vAlign w:val="center"/>
          </w:tcPr>
          <w:p w:rsidR="00472EB2" w:rsidRPr="0046236D" w:rsidRDefault="00472EB2" w:rsidP="00C71534">
            <w:pPr>
              <w:autoSpaceDE w:val="0"/>
              <w:autoSpaceDN w:val="0"/>
              <w:adjustRightInd w:val="0"/>
              <w:spacing w:after="0"/>
              <w:ind w:hanging="22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Финансирование носит прогнозный характер, подлежит уточнению при формировании бюджета на соответствующий год.</w:t>
            </w:r>
          </w:p>
        </w:tc>
      </w:tr>
      <w:tr w:rsidR="00472EB2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53" w:type="dxa"/>
          </w:tcPr>
          <w:p w:rsidR="00472EB2" w:rsidRPr="0046236D" w:rsidRDefault="00472EB2" w:rsidP="00DA3177">
            <w:pPr>
              <w:spacing w:after="0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428" w:type="dxa"/>
            <w:gridSpan w:val="3"/>
            <w:vAlign w:val="center"/>
          </w:tcPr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  <w:tab w:val="left" w:pos="50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Повышение уровня обеспеченности жильем.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 Обеспечение населения объектами благоустройства.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Повышение уровня благоустройства и качественное улучшение улично-дорожной сети.</w:t>
            </w:r>
          </w:p>
          <w:p w:rsidR="00472EB2" w:rsidRPr="0046236D" w:rsidRDefault="00472EB2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 Увеличение количества культурно-досуговых и спортивных учреждений.</w:t>
            </w:r>
          </w:p>
          <w:p w:rsidR="00472EB2" w:rsidRPr="0046236D" w:rsidRDefault="00472EB2" w:rsidP="00DA3177">
            <w:pPr>
              <w:tabs>
                <w:tab w:val="left" w:pos="412"/>
              </w:tabs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5. Удовлетворенность населения муниципального образования деятельностью органов местного самоуправления.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6. Утверждение Генерального плана муниципального образования.</w:t>
            </w:r>
          </w:p>
          <w:p w:rsidR="00472EB2" w:rsidRPr="0046236D" w:rsidRDefault="00472EB2" w:rsidP="00DF616C">
            <w:pPr>
              <w:pStyle w:val="ConsPlusNonformat"/>
              <w:widowControl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8. Увеличение количества субъектов малого и среднего предпринимательства.</w:t>
            </w:r>
          </w:p>
          <w:p w:rsidR="00472EB2" w:rsidRPr="0046236D" w:rsidRDefault="00472EB2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9. Участие субъектов малого и среднего предпринимательства для выполнения муниципальных </w:t>
            </w:r>
            <w:r w:rsidRPr="0046236D">
              <w:rPr>
                <w:rFonts w:ascii="Liberation Serif" w:hAnsi="Liberation Serif"/>
              </w:rPr>
              <w:lastRenderedPageBreak/>
              <w:t>заказов на поставку товаров, выполнения работ, оказание услуг от цены муниципальных заказов муниципального образования, в ценах предыдущего года.</w:t>
            </w:r>
          </w:p>
        </w:tc>
      </w:tr>
    </w:tbl>
    <w:p w:rsidR="00BB1FE7" w:rsidRPr="0046236D" w:rsidRDefault="00BB1FE7">
      <w:pPr>
        <w:rPr>
          <w:rFonts w:ascii="Liberation Serif" w:hAnsi="Liberation Serif"/>
        </w:rPr>
      </w:pPr>
    </w:p>
    <w:p w:rsidR="00CC3397" w:rsidRPr="0046236D" w:rsidRDefault="00E74704" w:rsidP="00CC3397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I. Характеристика текущего состояния </w:t>
      </w:r>
      <w:r w:rsidR="00CC3397" w:rsidRPr="0046236D">
        <w:rPr>
          <w:rFonts w:ascii="Liberation Serif" w:hAnsi="Liberation Serif"/>
          <w:b/>
        </w:rPr>
        <w:t>качества жизни</w:t>
      </w:r>
      <w:r w:rsidRPr="0046236D">
        <w:rPr>
          <w:rFonts w:ascii="Liberation Serif" w:hAnsi="Liberation Serif"/>
          <w:b/>
        </w:rPr>
        <w:t xml:space="preserve"> </w:t>
      </w:r>
    </w:p>
    <w:p w:rsidR="00E74704" w:rsidRPr="0046236D" w:rsidRDefault="00E74704" w:rsidP="00CC3397">
      <w:pPr>
        <w:spacing w:after="0" w:line="240" w:lineRule="auto"/>
        <w:jc w:val="center"/>
        <w:rPr>
          <w:rFonts w:ascii="Liberation Serif" w:hAnsi="Liberation Serif"/>
        </w:rPr>
      </w:pPr>
      <w:r w:rsidRPr="0046236D">
        <w:rPr>
          <w:rFonts w:ascii="Liberation Serif" w:hAnsi="Liberation Serif"/>
          <w:b/>
        </w:rPr>
        <w:t>муниципального образования</w:t>
      </w:r>
      <w:r w:rsidR="00CC3397" w:rsidRPr="0046236D">
        <w:rPr>
          <w:rFonts w:ascii="Liberation Serif" w:hAnsi="Liberation Serif"/>
          <w:b/>
        </w:rPr>
        <w:t xml:space="preserve"> поселок Уренгой</w:t>
      </w:r>
    </w:p>
    <w:p w:rsidR="00E74704" w:rsidRPr="0046236D" w:rsidRDefault="00E74704" w:rsidP="00CC3397">
      <w:pPr>
        <w:spacing w:after="0" w:line="240" w:lineRule="auto"/>
        <w:rPr>
          <w:rFonts w:ascii="Liberation Serif" w:hAnsi="Liberation Serif"/>
        </w:rPr>
      </w:pPr>
    </w:p>
    <w:p w:rsidR="00E74704" w:rsidRPr="0046236D" w:rsidRDefault="00E62FD5" w:rsidP="00453294">
      <w:pPr>
        <w:pStyle w:val="a9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 xml:space="preserve">Муниципальная программа «Повышение качества жизни населения муниципального образования поселок Уренгой» (далее - Муниципальная программа, поселок Уренгой) </w:t>
      </w:r>
      <w:r w:rsidR="00E74704" w:rsidRPr="0046236D">
        <w:rPr>
          <w:rFonts w:ascii="Liberation Serif" w:hAnsi="Liberation Serif"/>
          <w:szCs w:val="24"/>
        </w:rPr>
        <w:t xml:space="preserve">определяет систему мер муниципального управления, направленных на достижение приоритетов социально-экономической политики поселка Уренгой, способствующих повышению качества жизни </w:t>
      </w:r>
      <w:proofErr w:type="gramStart"/>
      <w:r w:rsidR="00E74704" w:rsidRPr="0046236D">
        <w:rPr>
          <w:rFonts w:ascii="Liberation Serif" w:hAnsi="Liberation Serif"/>
          <w:szCs w:val="24"/>
        </w:rPr>
        <w:t>населения  и</w:t>
      </w:r>
      <w:proofErr w:type="gramEnd"/>
      <w:r w:rsidR="00E74704" w:rsidRPr="0046236D">
        <w:rPr>
          <w:rFonts w:ascii="Liberation Serif" w:hAnsi="Liberation Serif"/>
          <w:szCs w:val="24"/>
        </w:rPr>
        <w:t xml:space="preserve"> развитию экономического потенциала.</w:t>
      </w:r>
    </w:p>
    <w:p w:rsidR="00E74704" w:rsidRPr="0046236D" w:rsidRDefault="00453294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Муниципальная программа </w:t>
      </w:r>
      <w:r w:rsidR="00E74704" w:rsidRPr="0046236D">
        <w:rPr>
          <w:rFonts w:ascii="Liberation Serif" w:hAnsi="Liberation Serif"/>
        </w:rPr>
        <w:t>учитывает приоритеты долгосрочного развития Российской Федерации, Уральского федерального округа, Ямало-Ненецкого автономного округа, Пуровского района</w:t>
      </w:r>
      <w:r w:rsidRPr="0046236D">
        <w:rPr>
          <w:rFonts w:ascii="Liberation Serif" w:hAnsi="Liberation Serif"/>
        </w:rPr>
        <w:t>, стратегии социально-экономического развития поселка Уренгой</w:t>
      </w:r>
      <w:r w:rsidR="00DC252A" w:rsidRPr="0046236D">
        <w:rPr>
          <w:rFonts w:ascii="Liberation Serif" w:hAnsi="Liberation Serif"/>
        </w:rPr>
        <w:t xml:space="preserve"> до 2030 года</w:t>
      </w:r>
      <w:r w:rsidR="00E74704" w:rsidRPr="0046236D">
        <w:rPr>
          <w:rFonts w:ascii="Liberation Serif" w:hAnsi="Liberation Serif"/>
        </w:rPr>
        <w:t>.</w:t>
      </w:r>
    </w:p>
    <w:p w:rsidR="00233AF6" w:rsidRPr="0046236D" w:rsidRDefault="00233AF6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233AF6" w:rsidRPr="0046236D" w:rsidRDefault="00AF3ABE" w:rsidP="008114D6">
      <w:pPr>
        <w:spacing w:after="0" w:line="240" w:lineRule="auto"/>
        <w:ind w:firstLine="709"/>
        <w:rPr>
          <w:rFonts w:ascii="Liberation Serif" w:hAnsi="Liberation Serif"/>
          <w:b/>
          <w:lang w:eastAsia="ru-RU"/>
        </w:rPr>
      </w:pPr>
      <w:r w:rsidRPr="0046236D">
        <w:rPr>
          <w:rFonts w:ascii="Liberation Serif" w:hAnsi="Liberation Serif"/>
          <w:b/>
          <w:lang w:eastAsia="ru-RU"/>
        </w:rPr>
        <w:t xml:space="preserve">1. </w:t>
      </w:r>
      <w:r w:rsidR="00233AF6" w:rsidRPr="0046236D">
        <w:rPr>
          <w:rFonts w:ascii="Liberation Serif" w:hAnsi="Liberation Serif"/>
          <w:b/>
          <w:lang w:eastAsia="ru-RU"/>
        </w:rPr>
        <w:t>Общая характеристика муниципальн</w:t>
      </w:r>
      <w:r w:rsidR="0058505F" w:rsidRPr="0046236D">
        <w:rPr>
          <w:rFonts w:ascii="Liberation Serif" w:hAnsi="Liberation Serif"/>
          <w:b/>
          <w:lang w:eastAsia="ru-RU"/>
        </w:rPr>
        <w:t>ого образования поселок Уренгой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 xml:space="preserve">Муниципальное образование поселок Уренгой является административно-территориальной единицей Пуровского района. 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>Законом Ямало-Ненецкого автономного округа от 20 декабря 2004 года № 113-ЗАО «О наделении статусом, определении административного центра и установлении границ муниципальных образований Пуровского района» в составе территории муниципального образования Пуровский район образовано и наделено статусом городского поселения муниципальное образование поселок Уренгой с административным центром поселок городского типа Уренгой.</w:t>
      </w:r>
    </w:p>
    <w:p w:rsidR="006B6777" w:rsidRPr="0046236D" w:rsidRDefault="006B6777" w:rsidP="00036F5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Поселок Уренгой был основан в 1966 году геологами, открывшими уникальное </w:t>
      </w:r>
      <w:proofErr w:type="spellStart"/>
      <w:r w:rsidRPr="0046236D">
        <w:rPr>
          <w:rFonts w:ascii="Liberation Serif" w:hAnsi="Liberation Serif"/>
        </w:rPr>
        <w:t>Уренгойское</w:t>
      </w:r>
      <w:proofErr w:type="spellEnd"/>
      <w:r w:rsidRPr="0046236D">
        <w:rPr>
          <w:rFonts w:ascii="Liberation Serif" w:hAnsi="Liberation Serif"/>
        </w:rPr>
        <w:t xml:space="preserve"> месторождение газа. Название поселка имеет ненецкое происхождение, звучит как «</w:t>
      </w:r>
      <w:proofErr w:type="spellStart"/>
      <w:r w:rsidRPr="0046236D">
        <w:rPr>
          <w:rFonts w:ascii="Liberation Serif" w:hAnsi="Liberation Serif"/>
        </w:rPr>
        <w:t>Вырангой</w:t>
      </w:r>
      <w:proofErr w:type="spellEnd"/>
      <w:r w:rsidRPr="0046236D">
        <w:rPr>
          <w:rFonts w:ascii="Liberation Serif" w:hAnsi="Liberation Serif"/>
        </w:rPr>
        <w:t xml:space="preserve">», что в переводе означает «звучащая возвышенность». Население поселка увеличивалось с ростом добычи газа и в 1969 году оно уже составило 1092 человека. Согласно </w:t>
      </w:r>
      <w:proofErr w:type="gramStart"/>
      <w:r w:rsidRPr="0046236D">
        <w:rPr>
          <w:rFonts w:ascii="Liberation Serif" w:hAnsi="Liberation Serif"/>
        </w:rPr>
        <w:t>переписи населения</w:t>
      </w:r>
      <w:proofErr w:type="gramEnd"/>
      <w:r w:rsidRPr="0046236D">
        <w:rPr>
          <w:rFonts w:ascii="Liberation Serif" w:hAnsi="Liberation Serif"/>
        </w:rPr>
        <w:t xml:space="preserve"> за 2010 год в поселке проживает 10</w:t>
      </w:r>
      <w:r w:rsidR="007838D5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066 человек.</w:t>
      </w:r>
    </w:p>
    <w:p w:rsidR="006B6777" w:rsidRPr="0046236D" w:rsidRDefault="006B677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1C083B">
        <w:rPr>
          <w:rFonts w:ascii="Liberation Serif" w:hAnsi="Liberation Serif"/>
        </w:rPr>
        <w:t xml:space="preserve">Площадь территории муниципального образования –  </w:t>
      </w:r>
      <w:r w:rsidR="00DC252A" w:rsidRPr="001C083B">
        <w:rPr>
          <w:rFonts w:ascii="Liberation Serif" w:hAnsi="Liberation Serif"/>
        </w:rPr>
        <w:t>2 846 га</w:t>
      </w:r>
      <w:r w:rsidRPr="001C083B">
        <w:rPr>
          <w:rFonts w:ascii="Liberation Serif" w:hAnsi="Liberation Serif"/>
        </w:rPr>
        <w:t>.</w:t>
      </w:r>
    </w:p>
    <w:p w:rsidR="000A18C7" w:rsidRDefault="000A18C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Муниципальное образование поселок Уренгой – второе по численности населения муниципальное образование Пуровского района Ямало-Ненецкого автономного округа. По состоянию на 01.01.2013г. на территории поселка проживает 11 018  чел</w:t>
      </w:r>
      <w:r w:rsidRPr="0046236D">
        <w:rPr>
          <w:rStyle w:val="a8"/>
          <w:rFonts w:ascii="Liberation Serif" w:hAnsi="Liberation Serif"/>
        </w:rPr>
        <w:footnoteReference w:id="1"/>
      </w:r>
      <w:r w:rsidRPr="0046236D">
        <w:rPr>
          <w:rFonts w:ascii="Liberation Serif" w:hAnsi="Liberation Serif"/>
        </w:rPr>
        <w:t>., или  21,1 % от общей численности населения Пуровского района, 2% от численности населения Ямало-Ненецкого автономного округа.</w:t>
      </w:r>
    </w:p>
    <w:p w:rsidR="001C083B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398"/>
        <w:gridCol w:w="951"/>
        <w:gridCol w:w="951"/>
        <w:gridCol w:w="951"/>
        <w:gridCol w:w="951"/>
        <w:gridCol w:w="951"/>
        <w:gridCol w:w="951"/>
        <w:gridCol w:w="951"/>
      </w:tblGrid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Показатели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2018</w:t>
            </w:r>
          </w:p>
        </w:tc>
      </w:tr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C083B" w:rsidRPr="001C083B" w:rsidRDefault="001C083B" w:rsidP="00931D39">
            <w:pPr>
              <w:spacing w:after="0" w:line="240" w:lineRule="auto"/>
              <w:ind w:left="-385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на 1 января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446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11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018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817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268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190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082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092</w:t>
            </w:r>
          </w:p>
        </w:tc>
      </w:tr>
    </w:tbl>
    <w:p w:rsidR="001C083B" w:rsidRPr="0046236D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8505F" w:rsidRPr="0046236D" w:rsidRDefault="00FB49CD" w:rsidP="008114D6">
      <w:pPr>
        <w:spacing w:after="0" w:line="240" w:lineRule="auto"/>
        <w:ind w:firstLine="709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2</w:t>
      </w:r>
      <w:r w:rsidR="009B5923" w:rsidRPr="0046236D">
        <w:rPr>
          <w:rFonts w:ascii="Liberation Serif" w:hAnsi="Liberation Serif"/>
          <w:b/>
        </w:rPr>
        <w:t xml:space="preserve">. </w:t>
      </w:r>
      <w:r w:rsidR="0058505F" w:rsidRPr="0046236D">
        <w:rPr>
          <w:rFonts w:ascii="Liberation Serif" w:hAnsi="Liberation Serif"/>
          <w:b/>
        </w:rPr>
        <w:t>Жилищный фонд поселка Уренгой</w:t>
      </w:r>
    </w:p>
    <w:p w:rsidR="00221358" w:rsidRDefault="00221358" w:rsidP="00221358">
      <w:pPr>
        <w:spacing w:after="0" w:line="240" w:lineRule="auto"/>
        <w:ind w:firstLine="709"/>
        <w:jc w:val="both"/>
      </w:pPr>
      <w:r w:rsidRPr="00F720E0">
        <w:t>Жилищный фонд поселка Уренгой</w:t>
      </w:r>
      <w:r>
        <w:t xml:space="preserve"> на 01.01.2019 г.</w:t>
      </w:r>
      <w:r w:rsidRPr="00F720E0">
        <w:t xml:space="preserve"> состоит из 2</w:t>
      </w:r>
      <w:r>
        <w:t>99 жилых домов (квартир 3112</w:t>
      </w:r>
      <w:r w:rsidRPr="00F720E0">
        <w:t xml:space="preserve">). Из общего количества домов, </w:t>
      </w:r>
      <w:r>
        <w:t>2</w:t>
      </w:r>
      <w:r w:rsidRPr="00F720E0">
        <w:t xml:space="preserve"> находится в муниципальной собственности, </w:t>
      </w:r>
      <w:r>
        <w:t>62</w:t>
      </w:r>
      <w:r w:rsidRPr="00F720E0">
        <w:t xml:space="preserve"> в частной.</w:t>
      </w:r>
      <w:r w:rsidRPr="00A22099">
        <w:rPr>
          <w:color w:val="FF0000"/>
        </w:rPr>
        <w:t xml:space="preserve"> </w:t>
      </w:r>
      <w:r>
        <w:t xml:space="preserve">Основная масса домов частной собственности расположены в микрорайонах «Молодежный» и «Таежный». </w:t>
      </w:r>
    </w:p>
    <w:p w:rsidR="00221358" w:rsidRPr="00FC0A9B" w:rsidRDefault="00221358" w:rsidP="00221358">
      <w:pPr>
        <w:spacing w:after="0" w:line="240" w:lineRule="auto"/>
        <w:ind w:firstLine="709"/>
        <w:jc w:val="both"/>
      </w:pPr>
      <w:r w:rsidRPr="00B377EB">
        <w:rPr>
          <w:szCs w:val="22"/>
        </w:rPr>
        <w:lastRenderedPageBreak/>
        <w:t>Большая часть жилого фонда поселка построена в 70-80 годах прошлого века, состояние многих домов близко к аварийному. Требуется обновление жилого фонда.</w:t>
      </w:r>
      <w:r>
        <w:rPr>
          <w:szCs w:val="22"/>
        </w:rPr>
        <w:t xml:space="preserve"> </w:t>
      </w:r>
      <w:r w:rsidRPr="00FC0A9B">
        <w:t xml:space="preserve">98 % </w:t>
      </w:r>
      <w:proofErr w:type="gramStart"/>
      <w:r w:rsidRPr="00FC0A9B">
        <w:t>жилищного  фонда</w:t>
      </w:r>
      <w:proofErr w:type="gramEnd"/>
      <w:r w:rsidRPr="00FC0A9B">
        <w:t xml:space="preserve"> состоит из 2</w:t>
      </w:r>
      <w:r w:rsidRPr="00FC0A9B">
        <w:noBreakHyphen/>
        <w:t xml:space="preserve">х этажных деревянных зданий конструкции «БАМ», «Тура», </w:t>
      </w:r>
      <w:proofErr w:type="spellStart"/>
      <w:r w:rsidRPr="00FC0A9B">
        <w:t>брусовые</w:t>
      </w:r>
      <w:proofErr w:type="spellEnd"/>
      <w:r w:rsidRPr="00FC0A9B">
        <w:t xml:space="preserve"> дома. Общая площадь одного дома составляет 920-970 м</w:t>
      </w:r>
      <w:r w:rsidRPr="00FC0A9B">
        <w:rPr>
          <w:vertAlign w:val="superscript"/>
        </w:rPr>
        <w:t>2</w:t>
      </w:r>
      <w:r w:rsidRPr="00FC0A9B">
        <w:t>, число квартир в доме – 16-18 ед.</w:t>
      </w:r>
    </w:p>
    <w:p w:rsidR="00221358" w:rsidRDefault="00221358" w:rsidP="00221358">
      <w:pPr>
        <w:spacing w:after="0" w:line="240" w:lineRule="auto"/>
        <w:ind w:firstLine="709"/>
        <w:jc w:val="both"/>
      </w:pPr>
      <w:r>
        <w:t>На 01.01</w:t>
      </w:r>
      <w:r w:rsidRPr="00FC0A9B">
        <w:t>.201</w:t>
      </w:r>
      <w:r>
        <w:t xml:space="preserve">9 </w:t>
      </w:r>
      <w:r w:rsidRPr="00FC0A9B">
        <w:t xml:space="preserve">г. </w:t>
      </w:r>
      <w:proofErr w:type="gramStart"/>
      <w:r w:rsidRPr="00FC0A9B">
        <w:t>общая  площадь</w:t>
      </w:r>
      <w:proofErr w:type="gramEnd"/>
      <w:r w:rsidRPr="00FC0A9B">
        <w:t xml:space="preserve"> жилищного фонда поселка составляет </w:t>
      </w:r>
      <w:r>
        <w:t xml:space="preserve">184,23 </w:t>
      </w:r>
      <w:r w:rsidRPr="00FC0A9B">
        <w:t>тыс. м</w:t>
      </w:r>
      <w:r w:rsidRPr="00FC0A9B">
        <w:rPr>
          <w:vertAlign w:val="superscript"/>
        </w:rPr>
        <w:t>2</w:t>
      </w:r>
      <w:r>
        <w:t>, в том числе  32,3</w:t>
      </w:r>
      <w:r w:rsidRPr="00FC0A9B">
        <w:t xml:space="preserve"> тыс.м</w:t>
      </w:r>
      <w:r w:rsidRPr="00FC0A9B">
        <w:rPr>
          <w:vertAlign w:val="superscript"/>
        </w:rPr>
        <w:t>2</w:t>
      </w:r>
      <w:r w:rsidRPr="00FC0A9B">
        <w:t xml:space="preserve"> ветхого и аварийного жилья.</w:t>
      </w:r>
    </w:p>
    <w:p w:rsidR="00221358" w:rsidRPr="0046236D" w:rsidRDefault="00221358" w:rsidP="00221358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proofErr w:type="gramStart"/>
      <w:r w:rsidRPr="0046236D">
        <w:rPr>
          <w:rFonts w:ascii="Liberation Serif" w:hAnsi="Liberation Serif"/>
          <w:lang w:eastAsia="ru-RU"/>
        </w:rPr>
        <w:t>Характеристика  жилищного</w:t>
      </w:r>
      <w:proofErr w:type="gramEnd"/>
      <w:r w:rsidRPr="0046236D">
        <w:rPr>
          <w:rFonts w:ascii="Liberation Serif" w:hAnsi="Liberation Serif"/>
          <w:lang w:eastAsia="ru-RU"/>
        </w:rPr>
        <w:t xml:space="preserve"> фонда по степени и</w:t>
      </w:r>
      <w:r>
        <w:rPr>
          <w:rFonts w:ascii="Liberation Serif" w:hAnsi="Liberation Serif"/>
          <w:lang w:eastAsia="ru-RU"/>
        </w:rPr>
        <w:t>зноса по состоянию на 01.01.2019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221358" w:rsidRPr="006173C0" w:rsidTr="003941ED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Показатели амортизации,</w:t>
            </w:r>
          </w:p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общей площади</w:t>
            </w:r>
          </w:p>
        </w:tc>
      </w:tr>
      <w:tr w:rsidR="00221358" w:rsidRPr="006173C0" w:rsidTr="003941ED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общей площади, тыс.</w:t>
            </w:r>
            <w:r w:rsidRPr="006173C0">
              <w:rPr>
                <w:sz w:val="22"/>
                <w:szCs w:val="22"/>
              </w:rPr>
              <w:t>м</w:t>
            </w:r>
            <w:r w:rsidRPr="006173C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15,61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6,06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31-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10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62,36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129,47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свыше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21,21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050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102,77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кроме того, </w:t>
            </w:r>
          </w:p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2,0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173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</w:tr>
    </w:tbl>
    <w:p w:rsidR="00221358" w:rsidRDefault="00221358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FB49CD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Жилищный фонд поселка Уренгой</w:t>
      </w:r>
      <w:r w:rsidR="00221358">
        <w:rPr>
          <w:rFonts w:ascii="Liberation Serif" w:hAnsi="Liberation Serif"/>
        </w:rPr>
        <w:t xml:space="preserve"> на 01.01.2013 г.</w:t>
      </w:r>
      <w:r w:rsidRPr="0046236D">
        <w:rPr>
          <w:rFonts w:ascii="Liberation Serif" w:hAnsi="Liberation Serif"/>
        </w:rPr>
        <w:t xml:space="preserve"> сост</w:t>
      </w:r>
      <w:r w:rsidR="00221358">
        <w:rPr>
          <w:rFonts w:ascii="Liberation Serif" w:hAnsi="Liberation Serif"/>
        </w:rPr>
        <w:t>оял</w:t>
      </w:r>
      <w:r w:rsidR="00370539" w:rsidRPr="0046236D">
        <w:rPr>
          <w:rFonts w:ascii="Liberation Serif" w:hAnsi="Liberation Serif"/>
        </w:rPr>
        <w:t xml:space="preserve"> из 287</w:t>
      </w:r>
      <w:r w:rsidRPr="0046236D">
        <w:rPr>
          <w:rFonts w:ascii="Liberation Serif" w:hAnsi="Liberation Serif"/>
        </w:rPr>
        <w:t xml:space="preserve"> жилых домов</w:t>
      </w:r>
      <w:r w:rsidR="00370539" w:rsidRPr="0046236D">
        <w:rPr>
          <w:rFonts w:ascii="Liberation Serif" w:hAnsi="Liberation Serif"/>
        </w:rPr>
        <w:t xml:space="preserve"> (квартир 3</w:t>
      </w:r>
      <w:r w:rsidR="007C05C9">
        <w:rPr>
          <w:rFonts w:ascii="Liberation Serif" w:hAnsi="Liberation Serif"/>
        </w:rPr>
        <w:t xml:space="preserve"> </w:t>
      </w:r>
      <w:r w:rsidR="00370539" w:rsidRPr="0046236D">
        <w:rPr>
          <w:rFonts w:ascii="Liberation Serif" w:hAnsi="Liberation Serif"/>
        </w:rPr>
        <w:t>300)</w:t>
      </w:r>
      <w:r w:rsidRPr="0046236D">
        <w:rPr>
          <w:rFonts w:ascii="Liberation Serif" w:hAnsi="Liberation Serif"/>
        </w:rPr>
        <w:t>.</w:t>
      </w:r>
      <w:r w:rsidR="00370539" w:rsidRPr="0046236D">
        <w:rPr>
          <w:rFonts w:ascii="Liberation Serif" w:hAnsi="Liberation Serif"/>
        </w:rPr>
        <w:t xml:space="preserve"> Из общего количества домов, 1 находи</w:t>
      </w:r>
      <w:r w:rsidRPr="0046236D">
        <w:rPr>
          <w:rFonts w:ascii="Liberation Serif" w:hAnsi="Liberation Serif"/>
        </w:rPr>
        <w:t xml:space="preserve">тся в муниципальной собственности, </w:t>
      </w:r>
      <w:r w:rsidR="00370539" w:rsidRPr="0046236D">
        <w:rPr>
          <w:rFonts w:ascii="Liberation Serif" w:hAnsi="Liberation Serif"/>
        </w:rPr>
        <w:t>52 в частной</w:t>
      </w:r>
      <w:r w:rsidRPr="0046236D">
        <w:rPr>
          <w:rFonts w:ascii="Liberation Serif" w:hAnsi="Liberation Serif"/>
        </w:rPr>
        <w:t>.</w:t>
      </w:r>
      <w:r w:rsidRPr="0046236D">
        <w:rPr>
          <w:rFonts w:ascii="Liberation Serif" w:hAnsi="Liberation Serif"/>
          <w:color w:val="FF0000"/>
        </w:rPr>
        <w:t xml:space="preserve"> </w:t>
      </w:r>
      <w:r w:rsidRPr="0046236D">
        <w:rPr>
          <w:rFonts w:ascii="Liberation Serif" w:hAnsi="Liberation Serif"/>
        </w:rPr>
        <w:t xml:space="preserve">Основная масса домов частной собственности расположены в микрорайонах «Молодежный» и «Таежный». 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Большая часть жилого фонда поселка построена в 70-80 годах прошлого века, состояние многих домов близко к аварийному. Требуется обновление жилого фонда. 98 % </w:t>
      </w:r>
      <w:proofErr w:type="gramStart"/>
      <w:r w:rsidRPr="0046236D">
        <w:rPr>
          <w:rFonts w:ascii="Liberation Serif" w:hAnsi="Liberation Serif"/>
        </w:rPr>
        <w:t>жилищного  фонда</w:t>
      </w:r>
      <w:proofErr w:type="gramEnd"/>
      <w:r w:rsidRPr="0046236D">
        <w:rPr>
          <w:rFonts w:ascii="Liberation Serif" w:hAnsi="Liberation Serif"/>
        </w:rPr>
        <w:t xml:space="preserve"> состоит из 2</w:t>
      </w:r>
      <w:r w:rsidRPr="0046236D">
        <w:rPr>
          <w:rFonts w:ascii="Liberation Serif" w:hAnsi="Liberation Serif"/>
        </w:rPr>
        <w:noBreakHyphen/>
        <w:t xml:space="preserve">х этажных деревянных зданий конструкции «БАМ», «Тура», </w:t>
      </w:r>
      <w:proofErr w:type="spellStart"/>
      <w:r w:rsidRPr="0046236D">
        <w:rPr>
          <w:rFonts w:ascii="Liberation Serif" w:hAnsi="Liberation Serif"/>
        </w:rPr>
        <w:t>брусовые</w:t>
      </w:r>
      <w:proofErr w:type="spellEnd"/>
      <w:r w:rsidRPr="0046236D">
        <w:rPr>
          <w:rFonts w:ascii="Liberation Serif" w:hAnsi="Liberation Serif"/>
        </w:rPr>
        <w:t xml:space="preserve"> дома. Общая площадь одного дома составляет 920-970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, число квартир в доме – 16-18 ед.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1358">
        <w:rPr>
          <w:rFonts w:ascii="Liberation Serif" w:hAnsi="Liberation Serif"/>
        </w:rPr>
        <w:t xml:space="preserve">На 01.07.2013 г. </w:t>
      </w:r>
      <w:proofErr w:type="gramStart"/>
      <w:r w:rsidRPr="00221358">
        <w:rPr>
          <w:rFonts w:ascii="Liberation Serif" w:hAnsi="Liberation Serif"/>
        </w:rPr>
        <w:t>общая  площадь</w:t>
      </w:r>
      <w:proofErr w:type="gramEnd"/>
      <w:r w:rsidRPr="00221358">
        <w:rPr>
          <w:rFonts w:ascii="Liberation Serif" w:hAnsi="Liberation Serif"/>
        </w:rPr>
        <w:t xml:space="preserve"> жилищного фонда поселка составляет 170,3 тыс. 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>, в том числе  32,2 тыс.м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 xml:space="preserve"> ветхого и аварийного жилья.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proofErr w:type="gramStart"/>
      <w:r w:rsidRPr="0046236D">
        <w:rPr>
          <w:rFonts w:ascii="Liberation Serif" w:hAnsi="Liberation Serif"/>
          <w:lang w:eastAsia="ru-RU"/>
        </w:rPr>
        <w:t>Характеристика  жилищного</w:t>
      </w:r>
      <w:proofErr w:type="gramEnd"/>
      <w:r w:rsidRPr="0046236D">
        <w:rPr>
          <w:rFonts w:ascii="Liberation Serif" w:hAnsi="Liberation Serif"/>
          <w:lang w:eastAsia="ru-RU"/>
        </w:rPr>
        <w:t xml:space="preserve"> фонда по степени износа по состоянию на 01.01</w:t>
      </w:r>
      <w:r w:rsidR="00221358">
        <w:rPr>
          <w:rFonts w:ascii="Liberation Serif" w:hAnsi="Liberation Serif"/>
          <w:lang w:eastAsia="ru-RU"/>
        </w:rPr>
        <w:t>.2013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9B5923" w:rsidRPr="0046236D" w:rsidTr="00A0741E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Показатели амортизации,</w:t>
            </w:r>
          </w:p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</w:t>
            </w:r>
          </w:p>
        </w:tc>
      </w:tr>
      <w:tr w:rsidR="009B5923" w:rsidRPr="0046236D" w:rsidTr="00A0741E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880A69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площади, тыс.</w:t>
            </w:r>
            <w:r w:rsidR="009B5923" w:rsidRPr="0046236D">
              <w:rPr>
                <w:rFonts w:ascii="Liberation Serif" w:hAnsi="Liberation Serif"/>
              </w:rPr>
              <w:t>м</w:t>
            </w:r>
            <w:r w:rsidR="009B5923" w:rsidRPr="0046236D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768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24,0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14,4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8,5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31-50</w:t>
            </w:r>
          </w:p>
        </w:tc>
        <w:tc>
          <w:tcPr>
            <w:tcW w:w="1810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1814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56,8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117,1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69,4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свыше 60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564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17,7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34,0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20,1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3146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165,5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кроме того, </w:t>
            </w:r>
          </w:p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48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3,3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3194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168,8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</w:tr>
    </w:tbl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 данным за 2012 год уровень обеспеченности жильем населения поселка Уренгой на 13,3 % ниже, чем в </w:t>
      </w:r>
      <w:proofErr w:type="spellStart"/>
      <w:r w:rsidRPr="0046236D">
        <w:rPr>
          <w:rFonts w:ascii="Liberation Serif" w:hAnsi="Liberation Serif"/>
        </w:rPr>
        <w:t>Пуровском</w:t>
      </w:r>
      <w:proofErr w:type="spellEnd"/>
      <w:r w:rsidRPr="0046236D">
        <w:rPr>
          <w:rFonts w:ascii="Liberation Serif" w:hAnsi="Liberation Serif"/>
        </w:rPr>
        <w:t xml:space="preserve"> районе, и на 14,2 </w:t>
      </w:r>
      <w:proofErr w:type="gramStart"/>
      <w:r w:rsidRPr="0046236D">
        <w:rPr>
          <w:rFonts w:ascii="Liberation Serif" w:hAnsi="Liberation Serif"/>
        </w:rPr>
        <w:t>%  ниже</w:t>
      </w:r>
      <w:proofErr w:type="gramEnd"/>
      <w:r w:rsidRPr="0046236D">
        <w:rPr>
          <w:rFonts w:ascii="Liberation Serif" w:hAnsi="Liberation Serif"/>
        </w:rPr>
        <w:t>, чем в целом в Ямало-Ненецком автономном округе.</w:t>
      </w:r>
    </w:p>
    <w:p w:rsidR="009B5923" w:rsidRPr="0046236D" w:rsidRDefault="009B5923" w:rsidP="009B5923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Наличие ветхого и аварийного жилищного фонда на территории муниципального образования поселок Уренгой (19% от общей площади жилищного фонда на 01.07.2013г.).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Высокая доля населения, нуждающегося в улучшении жилищных условий (9%).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Низкий уровень жилья в капитальном исполнении (2% от общей площади жилищного фонда).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Низкий </w:t>
      </w:r>
      <w:proofErr w:type="gramStart"/>
      <w:r w:rsidRPr="0046236D">
        <w:rPr>
          <w:rFonts w:ascii="Liberation Serif" w:hAnsi="Liberation Serif"/>
        </w:rPr>
        <w:t>уровень  общей</w:t>
      </w:r>
      <w:proofErr w:type="gramEnd"/>
      <w:r w:rsidRPr="0046236D">
        <w:rPr>
          <w:rFonts w:ascii="Liberation Serif" w:hAnsi="Liberation Serif"/>
        </w:rPr>
        <w:t xml:space="preserve"> площади жилых помещений, приходящейся в среднем на одного жителя в поселке Уренгой (16,3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/чел.).</w:t>
      </w:r>
    </w:p>
    <w:p w:rsidR="007B0D76" w:rsidRPr="0046236D" w:rsidRDefault="00D82F5C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</w:t>
      </w:r>
      <w:r w:rsidR="007B0D76" w:rsidRPr="0046236D">
        <w:rPr>
          <w:rFonts w:ascii="Liberation Serif" w:hAnsi="Liberation Serif"/>
        </w:rPr>
        <w:t>ровень качества жизни населения</w:t>
      </w:r>
      <w:r w:rsidRPr="0046236D">
        <w:rPr>
          <w:rFonts w:ascii="Liberation Serif" w:hAnsi="Liberation Serif"/>
        </w:rPr>
        <w:t>, в первую очередь,</w:t>
      </w:r>
      <w:r w:rsidR="007B0D76" w:rsidRPr="0046236D">
        <w:rPr>
          <w:rFonts w:ascii="Liberation Serif" w:hAnsi="Liberation Serif"/>
        </w:rPr>
        <w:t xml:space="preserve"> характеризуется безопасными и комфортными условиями проживания. С этой целью необходимо обеспечить повышение доступности самостоятельного приобретения жилья населением, повышение уровня обеспеченности жильем молодых семей, льготных категорий граждан, развитие индивидуального строительства, повышение привлекательности инвестиций в строительную индустрию поселения. При этом значительное внимание следует уделить обеспечению равного доступа ко всем сферам социальной жизни для особой категории населения путем адаптации объектов инженерной, транспортной и социальной инфраструктуры. При строительстве жилья необходимо учитывать потребности представителей маломобильных групп населения. </w:t>
      </w:r>
    </w:p>
    <w:p w:rsidR="009B5923" w:rsidRPr="0046236D" w:rsidRDefault="007B0D76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Для обеспечения жильем граждан, которые утрачивают возможность пользования единственным имеющимся у них жильем, целесообразно создание маневренного жилищного фонда.</w:t>
      </w:r>
    </w:p>
    <w:p w:rsidR="009B5923" w:rsidRPr="0046236D" w:rsidRDefault="009B5923" w:rsidP="00B31A66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8114D6" w:rsidRPr="0046236D" w:rsidRDefault="00D82F5C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3</w:t>
      </w:r>
      <w:r w:rsidR="00AF3ABE" w:rsidRPr="0046236D">
        <w:rPr>
          <w:rFonts w:ascii="Liberation Serif" w:hAnsi="Liberation Serif"/>
          <w:b/>
        </w:rPr>
        <w:t xml:space="preserve">. </w:t>
      </w:r>
      <w:r w:rsidR="002241A1" w:rsidRPr="0046236D">
        <w:rPr>
          <w:rFonts w:ascii="Liberation Serif" w:hAnsi="Liberation Serif"/>
          <w:b/>
        </w:rPr>
        <w:t>Предпринимательство, торговля и общественное питание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является развитие малых форм производства.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Вопросы развития малого и среднего бизнеса имеют не только экономическое, но и социальное значение.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Анализ ситуации в развитии малого и среднего предпринимательства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показывает, что это одна из наиболее динамично развивающихся сфер экономики.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муниципальном образовании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количество объектов розничной </w:t>
      </w:r>
      <w:proofErr w:type="gramStart"/>
      <w:r w:rsidRPr="0046236D">
        <w:rPr>
          <w:rFonts w:ascii="Liberation Serif" w:hAnsi="Liberation Serif"/>
        </w:rPr>
        <w:t>торговли  удовлетворяет</w:t>
      </w:r>
      <w:proofErr w:type="gramEnd"/>
      <w:r w:rsidRPr="0046236D">
        <w:rPr>
          <w:rFonts w:ascii="Liberation Serif" w:hAnsi="Liberation Serif"/>
        </w:rPr>
        <w:t xml:space="preserve"> потребностям  поселка. Бытовое обслуживание и розничная сеть </w:t>
      </w:r>
      <w:proofErr w:type="gramStart"/>
      <w:r w:rsidRPr="0046236D">
        <w:rPr>
          <w:rFonts w:ascii="Liberation Serif" w:hAnsi="Liberation Serif"/>
        </w:rPr>
        <w:t>поселка  представлены</w:t>
      </w:r>
      <w:proofErr w:type="gramEnd"/>
      <w:r w:rsidRPr="0046236D">
        <w:rPr>
          <w:rFonts w:ascii="Liberation Serif" w:hAnsi="Liberation Serif"/>
        </w:rPr>
        <w:t xml:space="preserve"> предприятиями малого предпринимательства.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большая часть населения занимается индивидуальным предпринимательством, что значительно снижает проблему занятости населения и обеспечения жителей поселка бытовыми и торговыми услугами. В 2012 году число предпринимателей выросло по сравнению с 2008 годом на 13 % (в 2008 г.</w:t>
      </w:r>
      <w:r w:rsidR="007211F5" w:rsidRPr="0046236D">
        <w:rPr>
          <w:rFonts w:ascii="Liberation Serif" w:hAnsi="Liberation Serif"/>
        </w:rPr>
        <w:t xml:space="preserve"> – 131 чел., 2012 г. -148 чел.)</w:t>
      </w:r>
      <w:r w:rsidRPr="0046236D">
        <w:rPr>
          <w:rFonts w:ascii="Liberation Serif" w:hAnsi="Liberation Serif"/>
        </w:rPr>
        <w:t>.</w:t>
      </w:r>
    </w:p>
    <w:p w:rsidR="00ED3B3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Малый бизнес в 2012 году представлен 110 предприятиями, что на 26 предприятий больше, чем в 2008 году. На предприятиях торговли, общественного питания и бытового обслуживания населения задействовано более 500 человек из жителей поселка.</w:t>
      </w:r>
    </w:p>
    <w:p w:rsidR="0013628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Сложившаяся отраслевая структура свидетельствует о развитии малого предпринимательства преимущественно в сферах торговли, бытового обслуживания, общественного питания, предоставления социальных и персональных услуг, транспортной отраслях. Оборот розничной торговли на 2012 год составил 456 млн. рублей, что на 20 млн. рублей больше, чем в 2008 году. Число субъектов малого предпринимательства в п. Уренгой в период с 2008-2012 гг. увеличилось, в </w:t>
      </w:r>
      <w:proofErr w:type="gramStart"/>
      <w:r w:rsidRPr="0046236D">
        <w:rPr>
          <w:rFonts w:ascii="Liberation Serif" w:hAnsi="Liberation Serif"/>
        </w:rPr>
        <w:t>основном  в</w:t>
      </w:r>
      <w:proofErr w:type="gramEnd"/>
      <w:r w:rsidRPr="0046236D">
        <w:rPr>
          <w:rFonts w:ascii="Liberation Serif" w:hAnsi="Liberation Serif"/>
        </w:rPr>
        <w:t xml:space="preserve"> сфере торговли.</w:t>
      </w:r>
    </w:p>
    <w:p w:rsidR="00233AF6" w:rsidRPr="0046236D" w:rsidRDefault="00233AF6" w:rsidP="00233AF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Приоритетное развитие малого предпринимательства – одно из основных условий экономического и социального развития поселка Уренгой. Развитие малого бизнеса способствует насыщению рынка товарами и услугами надлежащего качества, приводит к созданию новых рабочих мест и вовлечению в производство резервов рабочей силы.  В долгосрочной перспективе степень диверсификации экономики поселка Уренгой будет определяться, прежде всего, формированием многочисленного слоя малого и среднего </w:t>
      </w:r>
      <w:r w:rsidRPr="0046236D">
        <w:rPr>
          <w:rFonts w:ascii="Liberation Serif" w:hAnsi="Liberation Serif"/>
        </w:rPr>
        <w:lastRenderedPageBreak/>
        <w:t xml:space="preserve">предпринимательства. При этом преимущественное развитие получит рынок услуг: бытовых, торговых, социальных. Что приведет с одной стороны к повышению </w:t>
      </w:r>
      <w:proofErr w:type="gramStart"/>
      <w:r w:rsidRPr="0046236D">
        <w:rPr>
          <w:rFonts w:ascii="Liberation Serif" w:hAnsi="Liberation Serif"/>
        </w:rPr>
        <w:t>эффективности  таких</w:t>
      </w:r>
      <w:proofErr w:type="gramEnd"/>
      <w:r w:rsidRPr="0046236D">
        <w:rPr>
          <w:rFonts w:ascii="Liberation Serif" w:hAnsi="Liberation Serif"/>
        </w:rPr>
        <w:t xml:space="preserve"> социально значимых отраслей как здравоохранение, образование, культура, спорт, с другой стороны, без привлечения особо больших размеров финансовых ресурсов позволит получить дополнительные рабочие места и снизить количество безработных граждан.</w:t>
      </w:r>
    </w:p>
    <w:p w:rsidR="004523F4" w:rsidRPr="0046236D" w:rsidRDefault="004523F4" w:rsidP="004523F4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Отсутствует система проведения глубокого анализа деятельности малых предприятий.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 xml:space="preserve">Низкий уровень качества торгового </w:t>
      </w:r>
      <w:proofErr w:type="gramStart"/>
      <w:r w:rsidRPr="0046236D">
        <w:rPr>
          <w:rFonts w:ascii="Liberation Serif" w:hAnsi="Liberation Serif"/>
          <w:szCs w:val="24"/>
        </w:rPr>
        <w:t>обслуживания  покупателей</w:t>
      </w:r>
      <w:proofErr w:type="gramEnd"/>
      <w:r w:rsidRPr="0046236D">
        <w:rPr>
          <w:rFonts w:ascii="Liberation Serif" w:hAnsi="Liberation Serif"/>
          <w:szCs w:val="24"/>
        </w:rPr>
        <w:t>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Трудности с арендой, недостаток площадей.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Дефицит квалифицированных кадров.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Недостаток финансовых ресурсов, как собственных, так и заемных, для расширения деятельности.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Несовершенство законодательства (деятельность малых предприятий регулируется огромным количеством разнообразных законов и иных нормативно-правовых актов, в которые постоянно вносятся поправки и изменения, многие из которых не выполняются или же вовсе противоречат друг другу).</w:t>
      </w:r>
    </w:p>
    <w:p w:rsidR="005C6C1F" w:rsidRPr="0046236D" w:rsidRDefault="005C6C1F" w:rsidP="006F5B32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Cs w:val="24"/>
        </w:rPr>
      </w:pPr>
    </w:p>
    <w:p w:rsidR="002241A1" w:rsidRPr="0046236D" w:rsidRDefault="008D48D3" w:rsidP="00697E70">
      <w:pPr>
        <w:spacing w:after="0"/>
        <w:ind w:firstLine="72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4</w:t>
      </w:r>
      <w:r w:rsidR="00697E70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Транспорт</w:t>
      </w:r>
    </w:p>
    <w:p w:rsidR="0050421E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Внешние транспортные связи поселка</w:t>
      </w:r>
      <w:r w:rsidR="00697E70" w:rsidRPr="0046236D">
        <w:rPr>
          <w:rFonts w:ascii="Liberation Serif" w:hAnsi="Liberation Serif"/>
        </w:rPr>
        <w:t xml:space="preserve"> Уренгой осуществляются воздушным, железнодорожным, речным и автомобильным транспортом. Основной проблемой пос</w:t>
      </w:r>
      <w:r w:rsidRPr="0046236D">
        <w:rPr>
          <w:rFonts w:ascii="Liberation Serif" w:hAnsi="Liberation Serif"/>
        </w:rPr>
        <w:t>елка</w:t>
      </w:r>
      <w:r w:rsidR="00697E70" w:rsidRPr="0046236D">
        <w:rPr>
          <w:rFonts w:ascii="Liberation Serif" w:hAnsi="Liberation Serif"/>
        </w:rPr>
        <w:t xml:space="preserve"> Уренгой, связанной с транспортной инфраструктурой является отсутствие постоянной возможности транспортного сообщения через реку Пур. Понтонные переправы снимаются во время схода льда с реки в весенний период, во время хода шуги </w:t>
      </w:r>
      <w:proofErr w:type="gramStart"/>
      <w:r w:rsidR="00697E70" w:rsidRPr="0046236D">
        <w:rPr>
          <w:rFonts w:ascii="Liberation Serif" w:hAnsi="Liberation Serif"/>
        </w:rPr>
        <w:t>осенью,  также</w:t>
      </w:r>
      <w:proofErr w:type="gramEnd"/>
      <w:r w:rsidR="00697E70" w:rsidRPr="0046236D">
        <w:rPr>
          <w:rFonts w:ascii="Liberation Serif" w:hAnsi="Liberation Serif"/>
        </w:rPr>
        <w:t xml:space="preserve"> летом в период навигации для пропуска судов. Это затрудняет поставку продуктов для населения, а также препятствует осуществлению коммуникации между населенными пунктами. </w:t>
      </w:r>
    </w:p>
    <w:p w:rsidR="007400A4" w:rsidRPr="0046236D" w:rsidRDefault="007400A4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 xml:space="preserve">В период межсезонья (ледостава, ледохода) через реку </w:t>
      </w:r>
      <w:proofErr w:type="spellStart"/>
      <w:r w:rsidRPr="007400A4">
        <w:rPr>
          <w:rFonts w:ascii="Liberation Serif" w:hAnsi="Liberation Serif"/>
        </w:rPr>
        <w:t>Пур</w:t>
      </w:r>
      <w:proofErr w:type="spellEnd"/>
      <w:r w:rsidRPr="007400A4">
        <w:rPr>
          <w:rFonts w:ascii="Liberation Serif" w:hAnsi="Liberation Serif"/>
        </w:rPr>
        <w:t xml:space="preserve"> в границах муниципального образования поселок Уренгой осуществляются перевозки пассажиров суднами на воздушной подушке.</w:t>
      </w:r>
    </w:p>
    <w:p w:rsidR="00697E70" w:rsidRPr="0046236D" w:rsidRDefault="00697E70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 территории муниципального образования имеется ряд автодорог местного значения поселения, проходящих вне поселка Уренгой: автодорога на аэропорт, автодорога на вертодром, автодорога на свалку ТБО.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В настоящее время в поселке Уренгой проходят линии автобусов: по дороге н</w:t>
      </w:r>
      <w:r w:rsidR="00EC6BC8" w:rsidRPr="007400A4">
        <w:rPr>
          <w:rFonts w:ascii="Liberation Serif" w:hAnsi="Liberation Serif"/>
        </w:rPr>
        <w:t>а</w:t>
      </w:r>
      <w:r w:rsidRPr="007400A4">
        <w:rPr>
          <w:rFonts w:ascii="Liberation Serif" w:hAnsi="Liberation Serif"/>
        </w:rPr>
        <w:t xml:space="preserve"> въезде в поселок, по </w:t>
      </w:r>
      <w:proofErr w:type="spellStart"/>
      <w:r w:rsidRPr="007400A4">
        <w:rPr>
          <w:rFonts w:ascii="Liberation Serif" w:hAnsi="Liberation Serif"/>
        </w:rPr>
        <w:t>ул.им.Гири</w:t>
      </w:r>
      <w:proofErr w:type="spellEnd"/>
      <w:r w:rsidRPr="007400A4">
        <w:rPr>
          <w:rFonts w:ascii="Liberation Serif" w:hAnsi="Liberation Serif"/>
        </w:rPr>
        <w:t xml:space="preserve">, </w:t>
      </w:r>
      <w:proofErr w:type="spellStart"/>
      <w:r w:rsidRPr="007400A4">
        <w:rPr>
          <w:rFonts w:ascii="Liberation Serif" w:hAnsi="Liberation Serif"/>
        </w:rPr>
        <w:t>ул.Первопроходцев</w:t>
      </w:r>
      <w:proofErr w:type="spellEnd"/>
      <w:r w:rsidRPr="007400A4">
        <w:rPr>
          <w:rFonts w:ascii="Liberation Serif" w:hAnsi="Liberation Serif"/>
        </w:rPr>
        <w:t>, по дроге к аэропорту.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Протяженность автобусной сети в границах поселка по оси улиц составляет 3,0 км.</w:t>
      </w:r>
    </w:p>
    <w:p w:rsidR="007400A4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Плотность автобусной сети в пределах территории застройки составляет 1,1 км/</w:t>
      </w:r>
      <w:proofErr w:type="spellStart"/>
      <w:r w:rsidRPr="007400A4">
        <w:rPr>
          <w:rFonts w:ascii="Liberation Serif" w:hAnsi="Liberation Serif"/>
        </w:rPr>
        <w:t>кв.км</w:t>
      </w:r>
      <w:proofErr w:type="spellEnd"/>
      <w:r w:rsidRPr="007400A4">
        <w:rPr>
          <w:rFonts w:ascii="Liberation Serif" w:hAnsi="Liberation Serif"/>
        </w:rPr>
        <w:t>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Проведя анализ маршрута и установив наличие низкого пассажирооборота принято решение приостановить данный маршрут.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При востребованности данный маршрут продолжит действовать.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 xml:space="preserve">Муниципальный маршрут между п. Уренгой и районным центром г. </w:t>
      </w:r>
      <w:proofErr w:type="spellStart"/>
      <w:r w:rsidRPr="007400A4">
        <w:rPr>
          <w:rFonts w:ascii="Liberation Serif" w:hAnsi="Liberation Serif"/>
        </w:rPr>
        <w:t>Тарко</w:t>
      </w:r>
      <w:proofErr w:type="spellEnd"/>
      <w:r w:rsidRPr="007400A4">
        <w:rPr>
          <w:rFonts w:ascii="Liberation Serif" w:hAnsi="Liberation Serif"/>
        </w:rPr>
        <w:t>-Сале не действует. В настоящее время на этом маршруте работает частный предприниматель. Большая доля поселковых перевозок осуществлялась частными фирмами такси.</w:t>
      </w:r>
    </w:p>
    <w:p w:rsidR="00BC1CAF" w:rsidRPr="0046236D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 </w:t>
      </w: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5</w:t>
      </w:r>
      <w:r w:rsidR="00151AFB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 xml:space="preserve">Благоустройство </w:t>
      </w:r>
      <w:r w:rsidR="007B38F8" w:rsidRPr="0046236D">
        <w:rPr>
          <w:rFonts w:ascii="Liberation Serif" w:hAnsi="Liberation Serif"/>
          <w:b/>
        </w:rPr>
        <w:t xml:space="preserve">и озеленение </w:t>
      </w:r>
      <w:r w:rsidR="00AB118E" w:rsidRPr="0046236D">
        <w:rPr>
          <w:rFonts w:ascii="Liberation Serif" w:hAnsi="Liberation Serif"/>
          <w:b/>
        </w:rPr>
        <w:t>территории</w:t>
      </w:r>
    </w:p>
    <w:p w:rsidR="00151AFB" w:rsidRPr="0046236D" w:rsidRDefault="00151AFB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содержанию и эксплуатации объектов благоустройства.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Озелененные территории общего пользования – это территории, используемые для рекреации всего населения поселка городского типа. Расчет потребности в них рассчитывается на все население, учитывая так называемое, «временное население» - приезжие, отдыхающие, туристы.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 xml:space="preserve">В настоящее время в пос. Уренгой имеются зеленые насаждения общего пользования в виде скверов: сквер </w:t>
      </w:r>
      <w:proofErr w:type="spellStart"/>
      <w:r w:rsidRPr="0046236D">
        <w:rPr>
          <w:rFonts w:ascii="Liberation Serif" w:hAnsi="Liberation Serif"/>
        </w:rPr>
        <w:t>Подшибякина</w:t>
      </w:r>
      <w:proofErr w:type="spellEnd"/>
      <w:r w:rsidRPr="0046236D">
        <w:rPr>
          <w:rFonts w:ascii="Liberation Serif" w:hAnsi="Liberation Serif"/>
        </w:rPr>
        <w:t xml:space="preserve"> (на </w:t>
      </w:r>
      <w:proofErr w:type="spellStart"/>
      <w:r w:rsidRPr="0046236D">
        <w:rPr>
          <w:rFonts w:ascii="Liberation Serif" w:hAnsi="Liberation Serif"/>
        </w:rPr>
        <w:t>ул.Геологов</w:t>
      </w:r>
      <w:proofErr w:type="spellEnd"/>
      <w:r w:rsidRPr="0046236D">
        <w:rPr>
          <w:rFonts w:ascii="Liberation Serif" w:hAnsi="Liberation Serif"/>
        </w:rPr>
        <w:t>), сквер возле храма (</w:t>
      </w:r>
      <w:proofErr w:type="spellStart"/>
      <w:r w:rsidRPr="0046236D">
        <w:rPr>
          <w:rFonts w:ascii="Liberation Serif" w:hAnsi="Liberation Serif"/>
        </w:rPr>
        <w:t>ул.Попенченко</w:t>
      </w:r>
      <w:proofErr w:type="spellEnd"/>
      <w:r w:rsidRPr="0046236D">
        <w:rPr>
          <w:rFonts w:ascii="Liberation Serif" w:hAnsi="Liberation Serif"/>
        </w:rPr>
        <w:t xml:space="preserve">), сквер на пересечении </w:t>
      </w:r>
      <w:proofErr w:type="spellStart"/>
      <w:r w:rsidRPr="0046236D">
        <w:rPr>
          <w:rFonts w:ascii="Liberation Serif" w:hAnsi="Liberation Serif"/>
        </w:rPr>
        <w:t>ул.им.А.М.Брехунцова</w:t>
      </w:r>
      <w:proofErr w:type="spellEnd"/>
      <w:r w:rsidRPr="0046236D">
        <w:rPr>
          <w:rFonts w:ascii="Liberation Serif" w:hAnsi="Liberation Serif"/>
        </w:rPr>
        <w:t xml:space="preserve"> и </w:t>
      </w:r>
      <w:proofErr w:type="spellStart"/>
      <w:r w:rsidRPr="0046236D">
        <w:rPr>
          <w:rFonts w:ascii="Liberation Serif" w:hAnsi="Liberation Serif"/>
        </w:rPr>
        <w:t>ул.Первопроходцев</w:t>
      </w:r>
      <w:proofErr w:type="spellEnd"/>
      <w:r w:rsidRPr="0046236D">
        <w:rPr>
          <w:rFonts w:ascii="Liberation Serif" w:hAnsi="Liberation Serif"/>
        </w:rPr>
        <w:t xml:space="preserve">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южной части поселка имеются участки природного ландшафта, покрытые древесной растительностью. В настоящее время они не благоустроены, но являются   перспективными для организации парковой зоны.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Благоустроенные прибрежные и пляжные зоны на сегодня отсутствуют, хотя в перспективе необходимо их развитие. Для этого </w:t>
      </w:r>
      <w:proofErr w:type="gramStart"/>
      <w:r w:rsidRPr="0046236D">
        <w:rPr>
          <w:rFonts w:ascii="Liberation Serif" w:hAnsi="Liberation Serif"/>
        </w:rPr>
        <w:t>следует  провести</w:t>
      </w:r>
      <w:proofErr w:type="gramEnd"/>
      <w:r w:rsidRPr="0046236D">
        <w:rPr>
          <w:rFonts w:ascii="Liberation Serif" w:hAnsi="Liberation Serif"/>
        </w:rPr>
        <w:t xml:space="preserve"> комплекс мероприятий по расчистке и рекультивации территорий.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Основные объекты озеленения сегодня не отвечают своему функциональному назначению – «зона отдыха» и требуют проведения работ по благоустройству территории на основе ландшафтного проектирования.  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Обеспеченность зелеными насаждениями общего пользования составляет для пос. Уренгой -  1,8 м2/чел., что недостаточно для поселка городского типа с такой численностью населения  (таблице 2).</w:t>
      </w:r>
    </w:p>
    <w:p w:rsidR="007B38F8" w:rsidRPr="0046236D" w:rsidRDefault="007B38F8" w:rsidP="007B38F8">
      <w:pPr>
        <w:spacing w:before="240" w:after="24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Таблица 2.</w:t>
      </w:r>
      <w:r w:rsidRPr="0046236D">
        <w:rPr>
          <w:rFonts w:ascii="Liberation Serif" w:hAnsi="Liberation Serif"/>
        </w:rPr>
        <w:t>Обеспеченность населения объектами благоустройства</w:t>
      </w:r>
      <w:r w:rsidRPr="0046236D">
        <w:rPr>
          <w:rFonts w:ascii="Liberation Serif" w:hAnsi="Liberation Serif"/>
          <w:vertAlign w:val="superscript"/>
        </w:rPr>
        <w:footnoteReference w:id="2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2829"/>
        <w:gridCol w:w="1918"/>
        <w:gridCol w:w="2618"/>
        <w:gridCol w:w="1843"/>
      </w:tblGrid>
      <w:tr w:rsidR="007B38F8" w:rsidRPr="0046236D" w:rsidTr="005B21D0">
        <w:tc>
          <w:tcPr>
            <w:tcW w:w="540" w:type="dxa"/>
            <w:gridSpan w:val="2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№ п/п</w:t>
            </w:r>
          </w:p>
        </w:tc>
        <w:tc>
          <w:tcPr>
            <w:tcW w:w="2829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Наименование объектов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Факт</w:t>
            </w:r>
          </w:p>
        </w:tc>
        <w:tc>
          <w:tcPr>
            <w:tcW w:w="26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 xml:space="preserve">Норма  в соответствии со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СниП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 xml:space="preserve"> 2.07.01-89*</w:t>
            </w:r>
          </w:p>
        </w:tc>
        <w:tc>
          <w:tcPr>
            <w:tcW w:w="1843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Отклонение</w:t>
            </w:r>
          </w:p>
        </w:tc>
      </w:tr>
      <w:tr w:rsidR="007B38F8" w:rsidRPr="0046236D" w:rsidTr="005B21D0">
        <w:tc>
          <w:tcPr>
            <w:tcW w:w="9748" w:type="dxa"/>
            <w:gridSpan w:val="6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lang w:eastAsia="ru-RU"/>
              </w:rPr>
            </w:pP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Справочно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>: численность населения на 01.01.2013г. – 11 018 чел.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Озеленение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1,8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 (Региональные нормативы градостроительного проектирования ЯНАО)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- 3,2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в жилой застройке для стоянки автомашин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0,072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/чел.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0,8м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 xml:space="preserve">/чел (п.2.13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СниП</w:t>
            </w:r>
            <w:proofErr w:type="spellEnd"/>
            <w:r w:rsidRPr="0046236D">
              <w:rPr>
                <w:rFonts w:ascii="Liberation Serif" w:hAnsi="Liberation Serif"/>
                <w:lang w:eastAsia="ru-RU"/>
              </w:rPr>
              <w:t>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- 0,728м2/чел</w:t>
            </w:r>
          </w:p>
        </w:tc>
      </w:tr>
      <w:tr w:rsidR="007B38F8" w:rsidRPr="0046236D" w:rsidTr="005B21D0">
        <w:trPr>
          <w:trHeight w:val="768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0,93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0,7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2/</w:t>
            </w:r>
            <w:r w:rsidRPr="0046236D">
              <w:rPr>
                <w:rFonts w:ascii="Liberation Serif" w:hAnsi="Liberation Serif"/>
                <w:lang w:eastAsia="ru-RU"/>
              </w:rPr>
              <w:t>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+ 0,23 м2/чел</w:t>
            </w:r>
          </w:p>
        </w:tc>
      </w:tr>
      <w:tr w:rsidR="007B38F8" w:rsidRPr="0046236D" w:rsidTr="005B21D0">
        <w:trPr>
          <w:trHeight w:val="469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4.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―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0,1 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- 0,1 м2/чел</w:t>
            </w:r>
          </w:p>
        </w:tc>
      </w:tr>
      <w:tr w:rsidR="007B38F8" w:rsidRPr="0046236D" w:rsidTr="005B21D0">
        <w:trPr>
          <w:trHeight w:val="561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занятий физкультурой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0,04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2,0 м2/чел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- 1,96 м2/чел</w:t>
            </w:r>
          </w:p>
        </w:tc>
      </w:tr>
      <w:tr w:rsidR="007B38F8" w:rsidRPr="0046236D" w:rsidTr="005B21D0">
        <w:trPr>
          <w:trHeight w:val="413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хозяйственных целей и выгула собак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0,09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- 0,21 м2/чел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7.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Нормы накопления твердых бытовых отходов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650 кг/чел в год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280-300кг/чел в год (Прил.11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 xml:space="preserve">+ 350 кг/чел </w:t>
            </w:r>
            <w:proofErr w:type="spellStart"/>
            <w:r w:rsidRPr="0046236D">
              <w:rPr>
                <w:rFonts w:ascii="Liberation Serif" w:hAnsi="Liberation Serif"/>
                <w:lang w:eastAsia="ru-RU"/>
              </w:rPr>
              <w:t>вгод</w:t>
            </w:r>
            <w:proofErr w:type="spellEnd"/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8.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Кладбище традиционного захоронения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0,3га/1000 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0,24га/1000 чел (Прил.7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Соответствует нормативу</w:t>
            </w:r>
          </w:p>
        </w:tc>
      </w:tr>
    </w:tbl>
    <w:p w:rsidR="007400A4" w:rsidRDefault="007400A4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B21D0" w:rsidRPr="0046236D" w:rsidRDefault="005B21D0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Большинство объектов благоустройства в силу объективных причин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D7482" w:rsidRPr="0046236D" w:rsidRDefault="00BD7482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Городская среда современного поселка городского типа должна быть доступной и привлекательной для всех жителей поселения.</w:t>
      </w:r>
    </w:p>
    <w:p w:rsidR="006A7070" w:rsidRPr="0046236D" w:rsidRDefault="006A7070" w:rsidP="00DA3177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Одной из главных проблем по организации благоустройства территории пос. Уренгой является отсутствие комплексного плана мероприятий по благоустройству поселка на уровне проектной и сметной документаций. Мероприятия по благоустройству территории носят точечный характер и не решают проблему в целом. 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соответствии с действующим генеральным планом, улично-дорожная сеть поселка нуждается в расширении и качественном улучшении. Необходимо строительство новых улиц, а также устройство тротуаров и зеленых зон на части существующих.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Необходимо решение вопроса о реконструкции наружного освещения улиц, проездов и </w:t>
      </w:r>
      <w:proofErr w:type="spellStart"/>
      <w:r w:rsidRPr="0046236D">
        <w:rPr>
          <w:rFonts w:ascii="Liberation Serif" w:hAnsi="Liberation Serif"/>
        </w:rPr>
        <w:t>внутридворовых</w:t>
      </w:r>
      <w:proofErr w:type="spellEnd"/>
      <w:r w:rsidRPr="0046236D">
        <w:rPr>
          <w:rFonts w:ascii="Liberation Serif" w:hAnsi="Liberation Serif"/>
        </w:rPr>
        <w:t xml:space="preserve"> территорий</w:t>
      </w:r>
      <w:r w:rsidR="00330D26" w:rsidRPr="0046236D">
        <w:rPr>
          <w:rFonts w:ascii="Liberation Serif" w:hAnsi="Liberation Serif"/>
        </w:rPr>
        <w:t>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Необходима разработка и реализация проекта по отведению грунтовых и ливневых вод в жилой части застройки на всей территории поселка.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Необходимо проведение мероприятий по комплексному благоустройству </w:t>
      </w:r>
      <w:proofErr w:type="spellStart"/>
      <w:r w:rsidRPr="0046236D">
        <w:rPr>
          <w:rFonts w:ascii="Liberation Serif" w:hAnsi="Liberation Serif"/>
        </w:rPr>
        <w:t>внутридворовых</w:t>
      </w:r>
      <w:proofErr w:type="spellEnd"/>
      <w:r w:rsidRPr="0046236D">
        <w:rPr>
          <w:rFonts w:ascii="Liberation Serif" w:hAnsi="Liberation Serif"/>
        </w:rPr>
        <w:t xml:space="preserve"> территорий всего поселка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Важной проблемой является отсутствие специально подготовленного полигона твердых бытовых отходов соответствующего санитарным требованиям.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Активизация работ и мероприятий в сфере благоустройства будет способствовать созданию здоровых, удобных и комфортных условий жизни населения.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перспективе в части благоустройства поселения планируются следующие мероприятия.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Поэтапное комплексное устройство рекреационных зон для отдыха населения, включающее в себя разработку проектов планировки рекреационных зон, проектно-изыскательские работы, экспертизу сметной документации, реализацию проектов.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дворовых территорий является частью процесса по созданию комфортной среды для жизни и деятельности человека. При реализации мероприятий также важен комплексный подход к решению задач и обеспечение равного доступа к элементам благоустройства для всех жителей поселка.</w:t>
      </w:r>
    </w:p>
    <w:p w:rsidR="007B0D76" w:rsidRPr="0046236D" w:rsidRDefault="007B0D76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Реализация мероприятий по организации рекреационных зон позволит значительно увеличить показатели по обеспеченности населения зелеными насаждениями. Территориальное распределение рекреационных зон выполнено с учетом обеспечения радиуса доступности для всей территории поселка.</w:t>
      </w:r>
    </w:p>
    <w:p w:rsidR="00BD7482" w:rsidRPr="0046236D" w:rsidRDefault="00BD7482" w:rsidP="00BD748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Развитие территории муниципального образования в совокупности с природными, архитектурно-планировочными, экологическими, социально-культурными и другими факторами напрямую отражает степень благоустроенности и привлекательности для жизни муниципального образования поселок Уренгой.</w:t>
      </w:r>
    </w:p>
    <w:p w:rsidR="00BD7482" w:rsidRPr="0046236D" w:rsidRDefault="00BD748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6</w:t>
      </w:r>
      <w:r w:rsidR="00AB2D17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Социальная инфраструктура</w:t>
      </w:r>
    </w:p>
    <w:p w:rsidR="000A18C7" w:rsidRPr="0046236D" w:rsidRDefault="00BC1CAF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Социальная инфраструктура муниципального образования поселок Уренгой представлена объектами местного значения Пуровского района и местного значения поселения.</w:t>
      </w:r>
      <w:r w:rsidR="00FC1464" w:rsidRPr="0046236D">
        <w:rPr>
          <w:rFonts w:ascii="Liberation Serif" w:hAnsi="Liberation Serif"/>
        </w:rPr>
        <w:t xml:space="preserve"> 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 территории поселка осуществляют свою деятельность 6  учреждений культуры. В число учреждений культуры входят: Поселковая библиотека, Детская библиотека, Уренгойский краеведческий музей, Дом культуры «Маяк», Уренгойская детская художественная школа, Детская школа искусств.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Детская и поселковая библиотеки осуществляют библиотечное, информационно-коммуникативное и справочно-библиографическое обслуживание детского и взрослого населения поселка Уренгой. В городском поселении выполняется ряд мероприятий, </w:t>
      </w:r>
      <w:r w:rsidRPr="0046236D">
        <w:rPr>
          <w:rFonts w:ascii="Liberation Serif" w:hAnsi="Liberation Serif"/>
        </w:rPr>
        <w:lastRenderedPageBreak/>
        <w:t>направленных на поднятие престижа чтения. Библиотеки в поселке выполняют функции образовательную (поддержка и обеспечение образовательных целей), информационную (предоставление возможности использования информации вне зависимости от ее вида, формата, носителя) и культурную (организация мероприятий, воспитывающих культурное и социальное самосознание, содействующих эмоциональному развитию пользователей).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Деятельность музея в поселке Уренгой направлена на сохранение и развитие созданного в поселении культурного потенциала.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действует одно учреждение культурн</w:t>
      </w:r>
      <w:r w:rsidR="00015038" w:rsidRPr="0046236D">
        <w:rPr>
          <w:rFonts w:ascii="Liberation Serif" w:hAnsi="Liberation Serif"/>
        </w:rPr>
        <w:t>о-досугового направления работы –</w:t>
      </w:r>
      <w:r w:rsidRPr="0046236D">
        <w:rPr>
          <w:rFonts w:ascii="Liberation Serif" w:hAnsi="Liberation Serif"/>
        </w:rPr>
        <w:t xml:space="preserve"> Д</w:t>
      </w:r>
      <w:r w:rsidR="00015038" w:rsidRPr="0046236D">
        <w:rPr>
          <w:rFonts w:ascii="Liberation Serif" w:hAnsi="Liberation Serif"/>
        </w:rPr>
        <w:t>ом культуры</w:t>
      </w:r>
      <w:r w:rsidRPr="0046236D">
        <w:rPr>
          <w:rFonts w:ascii="Liberation Serif" w:hAnsi="Liberation Serif"/>
        </w:rPr>
        <w:t xml:space="preserve"> «Маяк».</w:t>
      </w:r>
      <w:r w:rsidR="00630977" w:rsidRPr="0046236D">
        <w:rPr>
          <w:rFonts w:ascii="Liberation Serif" w:hAnsi="Liberation Serif"/>
        </w:rPr>
        <w:t xml:space="preserve"> Культурно-досуговые мероприятия направлены, в первую очередь, на формирование и укрепление межличностных отношений в нерабочее время, на прямой обмен знаниями и жизненным опытом.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Практически по всем ключевым показателям наблюдается устойчивый рост, свидетельствующий о позитивных изменениях в сфере культуры.  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Несмотря на существующие проблемы, учреждения культуры ведут активную работу по сохранению и развитию культурного наследия муниципального образования, большое внимание уделяется сохранению духовной культуры, народного творчества малочисленных народов, проживающих на территории муниципального образования.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</w:rPr>
        <w:t>Общее число учреждений, предприятий, объединений, организаций физ</w:t>
      </w:r>
      <w:r w:rsidR="00BD23DC" w:rsidRPr="0046236D">
        <w:rPr>
          <w:rFonts w:ascii="Liberation Serif" w:hAnsi="Liberation Serif"/>
        </w:rPr>
        <w:t>ической культуры и спорта в 2014</w:t>
      </w:r>
      <w:r w:rsidRPr="0046236D">
        <w:rPr>
          <w:rFonts w:ascii="Liberation Serif" w:hAnsi="Liberation Serif"/>
        </w:rPr>
        <w:t xml:space="preserve"> году – 2 единицы.</w:t>
      </w:r>
      <w:r w:rsidR="00C50DF7" w:rsidRPr="0046236D">
        <w:rPr>
          <w:rFonts w:ascii="Liberation Serif" w:hAnsi="Liberation Serif"/>
        </w:rPr>
        <w:t xml:space="preserve"> В число учреждений спорта входят: Культурно-спортивный комплекс «Уренгоец» и </w:t>
      </w:r>
      <w:r w:rsidR="00C50DF7" w:rsidRPr="0046236D">
        <w:rPr>
          <w:rFonts w:ascii="Liberation Serif" w:hAnsi="Liberation Serif"/>
          <w:lang w:eastAsia="ru-RU"/>
        </w:rPr>
        <w:t>детско-юношеская спортивная школа по хоккею «Геолог»</w:t>
      </w:r>
      <w:r w:rsidR="00453012" w:rsidRPr="0046236D">
        <w:rPr>
          <w:rFonts w:ascii="Liberation Serif" w:hAnsi="Liberation Serif"/>
          <w:lang w:eastAsia="ru-RU"/>
        </w:rPr>
        <w:t>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Численность лиц, систематически занимающихся физической культурой и спортом, в пос</w:t>
      </w:r>
      <w:r w:rsidR="00830D5F" w:rsidRPr="0046236D">
        <w:rPr>
          <w:rFonts w:ascii="Liberation Serif" w:hAnsi="Liberation Serif"/>
        </w:rPr>
        <w:t>елке</w:t>
      </w:r>
      <w:r w:rsidR="000F2663" w:rsidRPr="0046236D">
        <w:rPr>
          <w:rFonts w:ascii="Liberation Serif" w:hAnsi="Liberation Serif"/>
        </w:rPr>
        <w:t xml:space="preserve"> Уренгой составила в 201</w:t>
      </w:r>
      <w:r w:rsidR="00BD23DC" w:rsidRPr="0046236D">
        <w:rPr>
          <w:rFonts w:ascii="Liberation Serif" w:hAnsi="Liberation Serif"/>
        </w:rPr>
        <w:t>4</w:t>
      </w:r>
      <w:r w:rsidR="000F2663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году  1 047 чел.</w:t>
      </w:r>
      <w:r w:rsidR="00C50DF7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Доля лиц, систематически занимающихся физической культурой и спортом, от общей численности населения в 201</w:t>
      </w:r>
      <w:r w:rsidR="00BD23DC" w:rsidRPr="0046236D">
        <w:rPr>
          <w:rFonts w:ascii="Liberation Serif" w:hAnsi="Liberation Serif"/>
        </w:rPr>
        <w:t>4</w:t>
      </w:r>
      <w:r w:rsidRPr="0046236D">
        <w:rPr>
          <w:rFonts w:ascii="Liberation Serif" w:hAnsi="Liberation Serif"/>
        </w:rPr>
        <w:t xml:space="preserve"> году – 10%.</w:t>
      </w:r>
    </w:p>
    <w:p w:rsidR="00453012" w:rsidRPr="0046236D" w:rsidRDefault="0045301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Одним из необходимых условий создания среды комфортной для проживания является комплекс мер, направленных на вовлечение всех слоев населения в систематические занятия физической культурой и спортом. </w:t>
      </w:r>
    </w:p>
    <w:p w:rsidR="00500363" w:rsidRPr="0046236D" w:rsidRDefault="00500363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E1252F" w:rsidRPr="0046236D" w:rsidRDefault="00B3574A" w:rsidP="00E1252F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  <w:lang w:val="en-US"/>
        </w:rPr>
        <w:t>II</w:t>
      </w:r>
      <w:r w:rsidRPr="0046236D">
        <w:rPr>
          <w:rFonts w:ascii="Liberation Serif" w:hAnsi="Liberation Serif"/>
          <w:b/>
        </w:rPr>
        <w:t xml:space="preserve">. </w:t>
      </w:r>
      <w:r w:rsidR="00E1252F" w:rsidRPr="0046236D">
        <w:rPr>
          <w:rFonts w:ascii="Liberation Serif" w:hAnsi="Liberation Serif"/>
          <w:b/>
        </w:rPr>
        <w:t xml:space="preserve">Перечень </w:t>
      </w:r>
      <w:r w:rsidRPr="0046236D">
        <w:rPr>
          <w:rFonts w:ascii="Liberation Serif" w:hAnsi="Liberation Serif"/>
          <w:b/>
        </w:rPr>
        <w:t xml:space="preserve">мероприятий </w:t>
      </w:r>
      <w:r w:rsidR="00E1252F" w:rsidRPr="0046236D">
        <w:rPr>
          <w:rFonts w:ascii="Liberation Serif" w:hAnsi="Liberation Serif"/>
          <w:b/>
        </w:rPr>
        <w:t xml:space="preserve">муниципальной </w:t>
      </w:r>
      <w:r w:rsidRPr="0046236D">
        <w:rPr>
          <w:rFonts w:ascii="Liberation Serif" w:hAnsi="Liberation Serif"/>
          <w:b/>
        </w:rPr>
        <w:t>программы</w:t>
      </w:r>
      <w:r w:rsidR="00E1252F" w:rsidRPr="0046236D">
        <w:rPr>
          <w:rFonts w:ascii="Liberation Serif" w:hAnsi="Liberation Serif"/>
          <w:b/>
        </w:rPr>
        <w:t xml:space="preserve"> «Повышение качества жизни населения муниципального образования </w:t>
      </w:r>
      <w:r w:rsidR="00E1252F" w:rsidRPr="0046236D">
        <w:rPr>
          <w:rFonts w:ascii="Liberation Serif" w:hAnsi="Liberation Serif"/>
          <w:b/>
          <w:bCs/>
        </w:rPr>
        <w:t>поселок Уренгой</w:t>
      </w:r>
      <w:r w:rsidR="00E1252F" w:rsidRPr="0046236D">
        <w:rPr>
          <w:rFonts w:ascii="Liberation Serif" w:hAnsi="Liberation Serif"/>
          <w:b/>
        </w:rPr>
        <w:t>»</w:t>
      </w: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</w:rPr>
      </w:pP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Комплекс мероприятий в рамках </w:t>
      </w:r>
      <w:r w:rsidR="0033188C" w:rsidRPr="0046236D">
        <w:rPr>
          <w:rFonts w:ascii="Liberation Serif" w:hAnsi="Liberation Serif"/>
        </w:rPr>
        <w:t>муниципальной программы</w:t>
      </w:r>
      <w:r w:rsidRPr="0046236D">
        <w:rPr>
          <w:rFonts w:ascii="Liberation Serif" w:hAnsi="Liberation Serif"/>
        </w:rPr>
        <w:t xml:space="preserve"> будет направлен на развитие человеческого капитала с учетом рационального и безопасного использования имеющихся природно-сырьевых ресурсов с применением инновационных технологий.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  <w:spacing w:val="-1"/>
        </w:rPr>
        <w:t xml:space="preserve">Система мер муниципального управления по реализации </w:t>
      </w:r>
      <w:r w:rsidRPr="0046236D">
        <w:rPr>
          <w:rFonts w:ascii="Liberation Serif" w:hAnsi="Liberation Serif"/>
          <w:color w:val="000000"/>
        </w:rPr>
        <w:t>обозначенных целей и задач включает организационные, правовые и финансовые механизмы.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Устойчивое развитие поселения будет базироваться на формировании и поддержании различных партнерств - между окружной, районной властью и органами местного самоуправления поселения, между муниципальными образованиями автономного округа, между органами местного самоуправления поселения и бизнесом, между органами местного самоуправления и общественными структурами.</w:t>
      </w:r>
    </w:p>
    <w:p w:rsidR="00C90CBA" w:rsidRPr="0046236D" w:rsidRDefault="00C90CBA" w:rsidP="00C90CBA">
      <w:pPr>
        <w:pStyle w:val="1"/>
        <w:tabs>
          <w:tab w:val="left" w:pos="993"/>
          <w:tab w:val="left" w:pos="1134"/>
        </w:tabs>
        <w:spacing w:before="0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Для выполнения задач, установленных данной программой, необходима реализация основных мероприятий</w:t>
      </w:r>
      <w:r w:rsidR="00880A69" w:rsidRPr="0046236D">
        <w:rPr>
          <w:rFonts w:ascii="Liberation Serif" w:hAnsi="Liberation Serif"/>
          <w:sz w:val="24"/>
          <w:szCs w:val="24"/>
        </w:rPr>
        <w:t>, отраженные в подпрограммах.</w:t>
      </w:r>
    </w:p>
    <w:p w:rsidR="00C90CBA" w:rsidRPr="0046236D" w:rsidRDefault="00C90CBA" w:rsidP="00CA2D88">
      <w:pPr>
        <w:spacing w:after="0" w:line="240" w:lineRule="auto"/>
        <w:ind w:firstLine="709"/>
        <w:jc w:val="both"/>
        <w:rPr>
          <w:rFonts w:ascii="Liberation Serif" w:hAnsi="Liberation Serif"/>
          <w:highlight w:val="yellow"/>
        </w:rPr>
      </w:pPr>
    </w:p>
    <w:p w:rsidR="00094077" w:rsidRPr="0046236D" w:rsidRDefault="00094077" w:rsidP="00094077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III</w:t>
      </w:r>
      <w:r w:rsidRPr="0046236D">
        <w:rPr>
          <w:rFonts w:ascii="Liberation Serif" w:hAnsi="Liberation Serif"/>
          <w:b/>
        </w:rPr>
        <w:t xml:space="preserve">. Перечень </w:t>
      </w:r>
      <w:r w:rsidR="00804441" w:rsidRPr="0046236D">
        <w:rPr>
          <w:rFonts w:ascii="Liberation Serif" w:hAnsi="Liberation Serif"/>
          <w:b/>
        </w:rPr>
        <w:t xml:space="preserve">целевых индикаторов и </w:t>
      </w:r>
      <w:r w:rsidRPr="0046236D">
        <w:rPr>
          <w:rFonts w:ascii="Liberation Serif" w:hAnsi="Liberation Serif"/>
          <w:b/>
        </w:rPr>
        <w:t xml:space="preserve">показателей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F720E0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Эффективность реализации приоритетных направлений будет оцениваться по показателям (индикаторам), путём сравнения плановых и фактических показателей, в том числе статистической отчётности. </w:t>
      </w:r>
    </w:p>
    <w:p w:rsidR="00094077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Основные результаты реализации Стратегии и активной социально-экономической политики органов местного самоуправления муниципального образования поселок Уренгой, направленной на повышение качества жизни н</w:t>
      </w:r>
      <w:r w:rsidR="00584F95" w:rsidRPr="0046236D">
        <w:rPr>
          <w:rFonts w:ascii="Liberation Serif" w:hAnsi="Liberation Serif"/>
        </w:rPr>
        <w:t>аселения</w:t>
      </w:r>
      <w:r w:rsidRPr="0046236D">
        <w:rPr>
          <w:rFonts w:ascii="Liberation Serif" w:hAnsi="Liberation Serif"/>
        </w:rPr>
        <w:t>.</w:t>
      </w:r>
    </w:p>
    <w:p w:rsidR="00584F95" w:rsidRPr="0046236D" w:rsidRDefault="00584F95" w:rsidP="0088683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Целевые значения показателей программы и их весовое значение указаны в приложении к муниципальной программе «Повышение качества жизни населения муниципального образования поселок Уренгой».</w:t>
      </w:r>
    </w:p>
    <w:p w:rsidR="00625CD4" w:rsidRPr="0046236D" w:rsidRDefault="00625CD4" w:rsidP="00625CD4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IV</w:t>
      </w:r>
      <w:r w:rsidRPr="0046236D">
        <w:rPr>
          <w:rFonts w:ascii="Liberation Serif" w:hAnsi="Liberation Serif"/>
          <w:b/>
        </w:rPr>
        <w:t xml:space="preserve">. Ожидаемые результаты реализации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625CD4" w:rsidRPr="0046236D" w:rsidRDefault="00235E39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Создание среды, благоприятной для жизни и развития человека, поможет городскому поселению быть конкурентоспособным в борьбе за трудовые ресурсы. Комфортная среда является стимулом для проживания и закрепления в городском поселении молодежи, являющейся наиболее мобильной частью населения, а также привлечения высококвалифицированных кадров в поселок Уренгой. Создание среды, комфортной  для жизни и развития, подразумевает улучшение жилищной обеспеченности, повышение уровня инфраструктурной обеспеченности и транспортной доступности, развитие рынка услуг, активное внедрение и использование современных информационно-коммуникационных технологий.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 w:cs="Times New Roman"/>
          <w:sz w:val="24"/>
          <w:szCs w:val="24"/>
        </w:rPr>
        <w:t>Реализация мероприятий, предусмотренных программой, позволит обеспечить: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  <w:tab w:val="left" w:pos="50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1. Повышение уровня обеспеченности жильем.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 xml:space="preserve">2. </w:t>
      </w:r>
      <w:r w:rsidR="00A526ED" w:rsidRPr="0046236D">
        <w:rPr>
          <w:rFonts w:ascii="Liberation Serif" w:hAnsi="Liberation Serif"/>
          <w:sz w:val="24"/>
          <w:szCs w:val="24"/>
        </w:rPr>
        <w:t>Повышение обеспечен</w:t>
      </w:r>
      <w:r w:rsidR="00A92B7E" w:rsidRPr="0046236D">
        <w:rPr>
          <w:rFonts w:ascii="Liberation Serif" w:hAnsi="Liberation Serif"/>
          <w:sz w:val="24"/>
          <w:szCs w:val="24"/>
        </w:rPr>
        <w:t>ности</w:t>
      </w:r>
      <w:r w:rsidR="00A526ED" w:rsidRPr="0046236D">
        <w:rPr>
          <w:rFonts w:ascii="Liberation Serif" w:hAnsi="Liberation Serif"/>
          <w:sz w:val="24"/>
          <w:szCs w:val="24"/>
        </w:rPr>
        <w:t xml:space="preserve"> </w:t>
      </w:r>
      <w:r w:rsidRPr="0046236D">
        <w:rPr>
          <w:rFonts w:ascii="Liberation Serif" w:hAnsi="Liberation Serif"/>
          <w:sz w:val="24"/>
          <w:szCs w:val="24"/>
        </w:rPr>
        <w:t>населения объектами благоустройства</w:t>
      </w:r>
      <w:r w:rsidR="00CF0D50" w:rsidRPr="0046236D">
        <w:rPr>
          <w:rFonts w:ascii="Liberation Serif" w:hAnsi="Liberation Serif"/>
          <w:sz w:val="24"/>
          <w:szCs w:val="24"/>
        </w:rPr>
        <w:t xml:space="preserve"> в соответствии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3. Благоустройство и качественное улучшение улично-дорожной сети</w:t>
      </w:r>
      <w:r w:rsidR="00A92B7E" w:rsidRPr="0046236D">
        <w:rPr>
          <w:rFonts w:ascii="Liberation Serif" w:hAnsi="Liberation Serif"/>
          <w:sz w:val="24"/>
          <w:szCs w:val="24"/>
        </w:rPr>
        <w:t xml:space="preserve"> в соответствие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4. Увеличение количества культурно-досуговых и спортивных учреждений.</w:t>
      </w:r>
    </w:p>
    <w:p w:rsidR="001169D5" w:rsidRPr="0046236D" w:rsidRDefault="001169D5" w:rsidP="0088683B">
      <w:pPr>
        <w:tabs>
          <w:tab w:val="left" w:pos="4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5. Удовлетворенность населения муниципального образования деятельностью органов местного самоуправления.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6. Утверждение Генерального п</w:t>
      </w:r>
      <w:r w:rsidR="00876FF2" w:rsidRPr="0046236D">
        <w:rPr>
          <w:rFonts w:ascii="Liberation Serif" w:hAnsi="Liberation Serif"/>
        </w:rPr>
        <w:t>лана муниципального образования.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7. Приведение в соответствие с утвержденным Генеральным планом правил землепользования и застройки.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8. </w:t>
      </w:r>
      <w:r w:rsidR="00A92B7E" w:rsidRPr="0046236D">
        <w:rPr>
          <w:rFonts w:ascii="Liberation Serif" w:hAnsi="Liberation Serif"/>
        </w:rPr>
        <w:t>Увеличение к</w:t>
      </w:r>
      <w:r w:rsidRPr="0046236D">
        <w:rPr>
          <w:rFonts w:ascii="Liberation Serif" w:hAnsi="Liberation Serif"/>
        </w:rPr>
        <w:t>оличеств</w:t>
      </w:r>
      <w:r w:rsidR="00A92B7E" w:rsidRPr="0046236D">
        <w:rPr>
          <w:rFonts w:ascii="Liberation Serif" w:hAnsi="Liberation Serif"/>
        </w:rPr>
        <w:t>а</w:t>
      </w:r>
      <w:r w:rsidRPr="0046236D">
        <w:rPr>
          <w:rFonts w:ascii="Liberation Serif" w:hAnsi="Liberation Serif"/>
        </w:rPr>
        <w:t xml:space="preserve"> субъектов малого и среднего предпринимательства.</w:t>
      </w:r>
    </w:p>
    <w:p w:rsidR="00235E39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9. Участие субъектов малого и среднего предпринимательства для выполнения муниципальных заказов на поставку товаров, выполнения работ, оказание услуг от цены муниципальных заказов муниципального образования, в ценах предыдущего года.</w:t>
      </w:r>
    </w:p>
    <w:p w:rsidR="00A92B7E" w:rsidRPr="0046236D" w:rsidRDefault="00A92B7E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10. Повышение качества обслуживания субъектами малого и среднего предпринимательства.</w:t>
      </w:r>
    </w:p>
    <w:p w:rsidR="00094077" w:rsidRPr="0046236D" w:rsidRDefault="00094077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</w:pPr>
    </w:p>
    <w:p w:rsidR="00C75393" w:rsidRPr="0046236D" w:rsidRDefault="00C75393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  <w:sectPr w:rsidR="00C75393" w:rsidRPr="0046236D" w:rsidSect="004623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4128" w:rsidRPr="0046236D" w:rsidRDefault="001B54B8" w:rsidP="00114128">
      <w:pPr>
        <w:ind w:left="8222" w:firstLine="6"/>
        <w:outlineLvl w:val="0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</w:rPr>
        <w:lastRenderedPageBreak/>
        <w:t>Приложение</w:t>
      </w:r>
    </w:p>
    <w:p w:rsidR="00114128" w:rsidRPr="0046236D" w:rsidRDefault="00114128" w:rsidP="00114128">
      <w:pPr>
        <w:ind w:left="8222" w:firstLine="6"/>
        <w:outlineLvl w:val="0"/>
        <w:rPr>
          <w:rFonts w:ascii="Liberation Serif" w:hAnsi="Liberation Serif"/>
          <w:color w:val="000000"/>
        </w:rPr>
        <w:sectPr w:rsidR="00114128" w:rsidRPr="0046236D" w:rsidSect="008868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46236D">
        <w:rPr>
          <w:rFonts w:ascii="Liberation Serif" w:hAnsi="Liberation Serif"/>
          <w:color w:val="000000"/>
        </w:rPr>
        <w:t>к муниципальной программе «Повышение качества жизни населения муниципального образования поселок Уренгой»</w:t>
      </w:r>
    </w:p>
    <w:tbl>
      <w:tblPr>
        <w:tblW w:w="15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786"/>
        <w:gridCol w:w="850"/>
        <w:gridCol w:w="850"/>
        <w:gridCol w:w="850"/>
        <w:gridCol w:w="851"/>
        <w:gridCol w:w="851"/>
        <w:gridCol w:w="850"/>
        <w:gridCol w:w="851"/>
        <w:gridCol w:w="850"/>
        <w:gridCol w:w="992"/>
        <w:gridCol w:w="851"/>
        <w:gridCol w:w="850"/>
        <w:gridCol w:w="850"/>
        <w:gridCol w:w="850"/>
      </w:tblGrid>
      <w:tr w:rsidR="00472EB2" w:rsidRPr="0088683B" w:rsidTr="004A2B67">
        <w:trPr>
          <w:trHeight w:val="300"/>
          <w:tblHeader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№п/п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Единица измерения</w:t>
            </w:r>
          </w:p>
        </w:tc>
        <w:tc>
          <w:tcPr>
            <w:tcW w:w="10346" w:type="dxa"/>
            <w:gridSpan w:val="12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Значение показателей эффективности</w:t>
            </w:r>
          </w:p>
        </w:tc>
      </w:tr>
      <w:tr w:rsidR="00472EB2" w:rsidRPr="0088683B" w:rsidTr="004A2B67">
        <w:trPr>
          <w:trHeight w:val="821"/>
          <w:tblHeader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786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вес показателя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2014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2015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2016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472EB2" w:rsidRPr="0088683B" w:rsidRDefault="00472EB2" w:rsidP="006D115D">
            <w:pPr>
              <w:pStyle w:val="ConsPlusNonformat"/>
              <w:tabs>
                <w:tab w:val="left" w:pos="-251"/>
              </w:tabs>
              <w:spacing w:after="0" w:line="240" w:lineRule="auto"/>
              <w:ind w:left="-109"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2017 г.</w:t>
            </w:r>
          </w:p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2018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2019 г.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2020 г.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2021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2022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72EB2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</w:t>
            </w:r>
            <w:r>
              <w:rPr>
                <w:rFonts w:ascii="Liberation Serif" w:hAnsi="Liberation Serif" w:cs="Times New Roman"/>
              </w:rPr>
              <w:t>3</w:t>
            </w:r>
            <w:r w:rsidRPr="0088683B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72EB2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</w:t>
            </w:r>
            <w:r>
              <w:rPr>
                <w:rFonts w:ascii="Liberation Serif" w:hAnsi="Liberation Serif" w:cs="Times New Roman"/>
              </w:rPr>
              <w:t>4</w:t>
            </w:r>
            <w:r w:rsidRPr="0088683B">
              <w:rPr>
                <w:rFonts w:ascii="Liberation Serif" w:hAnsi="Liberation Serif" w:cs="Times New Roman"/>
              </w:rPr>
              <w:t xml:space="preserve"> г.</w:t>
            </w:r>
          </w:p>
        </w:tc>
      </w:tr>
      <w:tr w:rsidR="00472EB2" w:rsidRPr="0088683B" w:rsidTr="00472EB2">
        <w:trPr>
          <w:trHeight w:val="300"/>
          <w:tblHeader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</w:p>
        </w:tc>
      </w:tr>
      <w:tr w:rsidR="00472EB2" w:rsidRPr="0088683B" w:rsidTr="00472EB2">
        <w:trPr>
          <w:trHeight w:val="315"/>
        </w:trPr>
        <w:tc>
          <w:tcPr>
            <w:tcW w:w="8647" w:type="dxa"/>
            <w:gridSpan w:val="7"/>
            <w:shd w:val="clear" w:color="auto" w:fill="D9D9D9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lang w:val="en-US"/>
              </w:rPr>
            </w:pPr>
            <w:r w:rsidRPr="0088683B">
              <w:rPr>
                <w:rFonts w:ascii="Liberation Serif" w:hAnsi="Liberation Serif" w:cs="Times New Roman"/>
                <w:b/>
                <w:bCs/>
              </w:rPr>
              <w:t>Муниципальная программа</w:t>
            </w: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</w:tr>
      <w:tr w:rsidR="00472EB2" w:rsidRPr="0088683B" w:rsidTr="004A2B67">
        <w:trPr>
          <w:trHeight w:val="332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Обеспеченность населения жилой площадью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м2/чел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</w:tr>
      <w:tr w:rsidR="00472EB2" w:rsidRPr="0088683B" w:rsidTr="004A2B67">
        <w:trPr>
          <w:trHeight w:val="293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Обеспеченность населения объектами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</w:tr>
      <w:tr w:rsidR="00472EB2" w:rsidRPr="0088683B" w:rsidTr="004A2B67">
        <w:trPr>
          <w:trHeight w:val="331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Протяженность улично-дорожной сети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3786" w:type="dxa"/>
            <w:shd w:val="clear" w:color="auto" w:fill="auto"/>
            <w:vAlign w:val="bottom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культурно-досуговых и спортивных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Повышение качества муниципального управления и муниципальных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Утверждение Генерального плана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Приведение в соответствие с утвержденным Генеральным планом правил землепользования и застройки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субъектов малого и среднего предпринимательства, индивидуальные предприниматели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</w:tr>
      <w:tr w:rsidR="00472EB2" w:rsidRPr="0088683B" w:rsidTr="004A2B67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472EB2" w:rsidRPr="0088683B" w:rsidRDefault="00472EB2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9.</w:t>
            </w:r>
          </w:p>
        </w:tc>
        <w:tc>
          <w:tcPr>
            <w:tcW w:w="3786" w:type="dxa"/>
            <w:shd w:val="clear" w:color="auto" w:fill="auto"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Участие субъектов малого и среднего предпринимательства, индивидуальных предпринимателей для выполнения муниципальных заказов на поставку товаров, выполнение работ, оказание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72EB2" w:rsidRPr="0088683B" w:rsidRDefault="00472EB2" w:rsidP="004A2B67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</w:tr>
    </w:tbl>
    <w:p w:rsidR="00584F95" w:rsidRPr="0046236D" w:rsidRDefault="00584F95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sectPr w:rsidR="00584F95" w:rsidRPr="0046236D" w:rsidSect="0011412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D0" w:rsidRDefault="003C77D0" w:rsidP="000A18C7">
      <w:pPr>
        <w:spacing w:after="0" w:line="240" w:lineRule="auto"/>
      </w:pPr>
      <w:r>
        <w:separator/>
      </w:r>
    </w:p>
  </w:endnote>
  <w:endnote w:type="continuationSeparator" w:id="0">
    <w:p w:rsidR="003C77D0" w:rsidRDefault="003C77D0" w:rsidP="000A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D0" w:rsidRDefault="003C77D0" w:rsidP="000A18C7">
      <w:pPr>
        <w:spacing w:after="0" w:line="240" w:lineRule="auto"/>
      </w:pPr>
      <w:r>
        <w:separator/>
      </w:r>
    </w:p>
  </w:footnote>
  <w:footnote w:type="continuationSeparator" w:id="0">
    <w:p w:rsidR="003C77D0" w:rsidRDefault="003C77D0" w:rsidP="000A18C7">
      <w:pPr>
        <w:spacing w:after="0" w:line="240" w:lineRule="auto"/>
      </w:pPr>
      <w:r>
        <w:continuationSeparator/>
      </w:r>
    </w:p>
  </w:footnote>
  <w:footnote w:id="1">
    <w:p w:rsidR="000A18C7" w:rsidRDefault="000A18C7" w:rsidP="000A18C7">
      <w:pPr>
        <w:pStyle w:val="a6"/>
      </w:pPr>
      <w:r>
        <w:rPr>
          <w:rStyle w:val="a8"/>
        </w:rPr>
        <w:footnoteRef/>
      </w:r>
      <w:r>
        <w:t xml:space="preserve"> Федеральная служба государственной статистики: Численность населения Российской Федерации по муниципальным образованиям на 1 января 2013 года (статистический бюллетень) </w:t>
      </w:r>
    </w:p>
  </w:footnote>
  <w:footnote w:id="2">
    <w:p w:rsidR="007B38F8" w:rsidRDefault="007B38F8" w:rsidP="007B38F8">
      <w:pPr>
        <w:pStyle w:val="a6"/>
        <w:jc w:val="both"/>
      </w:pPr>
      <w:r>
        <w:rPr>
          <w:rStyle w:val="a8"/>
        </w:rPr>
        <w:footnoteRef/>
      </w:r>
      <w:r w:rsidRPr="005E3F4C">
        <w:rPr>
          <w:szCs w:val="22"/>
        </w:rPr>
        <w:t>СНиП 2.07.01-89*</w:t>
      </w:r>
      <w:r w:rsidRPr="005E3F4C">
        <w:rPr>
          <w:b/>
          <w:szCs w:val="22"/>
        </w:rPr>
        <w:t xml:space="preserve">: </w:t>
      </w:r>
      <w:r w:rsidRPr="005E3F4C">
        <w:rPr>
          <w:szCs w:val="22"/>
        </w:rPr>
        <w:t>Градостроительство, планировка и застройка городских и сельских поселений; Постановление Администрации ЯНАО от 10.01.2008г. № 4-А «Об утверждении Региональных нормативов градостроительного проектирования Ямало-Ненецкого автономного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2A1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7BE3C93"/>
    <w:multiLevelType w:val="hybridMultilevel"/>
    <w:tmpl w:val="10DC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6C87"/>
    <w:multiLevelType w:val="hybridMultilevel"/>
    <w:tmpl w:val="06FE9A8E"/>
    <w:lvl w:ilvl="0" w:tplc="B6961E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54B6197"/>
    <w:multiLevelType w:val="hybridMultilevel"/>
    <w:tmpl w:val="CD4A1760"/>
    <w:lvl w:ilvl="0" w:tplc="EA707E9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B06CB4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2CC68B5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8711741"/>
    <w:multiLevelType w:val="multilevel"/>
    <w:tmpl w:val="6F9C4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12448F1"/>
    <w:multiLevelType w:val="hybridMultilevel"/>
    <w:tmpl w:val="1388971E"/>
    <w:lvl w:ilvl="0" w:tplc="B6961E50">
      <w:start w:val="1"/>
      <w:numFmt w:val="bullet"/>
      <w:lvlText w:val="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D9107E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AE32E04"/>
    <w:multiLevelType w:val="hybridMultilevel"/>
    <w:tmpl w:val="876EE922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ED92503"/>
    <w:multiLevelType w:val="hybridMultilevel"/>
    <w:tmpl w:val="356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19"/>
    <w:rsid w:val="00004176"/>
    <w:rsid w:val="00015038"/>
    <w:rsid w:val="00023A06"/>
    <w:rsid w:val="00024B35"/>
    <w:rsid w:val="00025C09"/>
    <w:rsid w:val="0003229C"/>
    <w:rsid w:val="00032D0C"/>
    <w:rsid w:val="00033F0C"/>
    <w:rsid w:val="00034AFF"/>
    <w:rsid w:val="00036F5D"/>
    <w:rsid w:val="00040A63"/>
    <w:rsid w:val="00040A6A"/>
    <w:rsid w:val="000448EF"/>
    <w:rsid w:val="0005323E"/>
    <w:rsid w:val="00055B52"/>
    <w:rsid w:val="00073394"/>
    <w:rsid w:val="00073EE8"/>
    <w:rsid w:val="00076411"/>
    <w:rsid w:val="00077CE7"/>
    <w:rsid w:val="000838AF"/>
    <w:rsid w:val="0009136D"/>
    <w:rsid w:val="00092B90"/>
    <w:rsid w:val="00094077"/>
    <w:rsid w:val="000A177A"/>
    <w:rsid w:val="000A18C7"/>
    <w:rsid w:val="000B336B"/>
    <w:rsid w:val="000C3AEB"/>
    <w:rsid w:val="000D65D2"/>
    <w:rsid w:val="000E1842"/>
    <w:rsid w:val="000E5CE5"/>
    <w:rsid w:val="000E5E88"/>
    <w:rsid w:val="000F2663"/>
    <w:rsid w:val="000F79AC"/>
    <w:rsid w:val="0010171D"/>
    <w:rsid w:val="00103083"/>
    <w:rsid w:val="001042C5"/>
    <w:rsid w:val="001059F0"/>
    <w:rsid w:val="00105F30"/>
    <w:rsid w:val="00106BDA"/>
    <w:rsid w:val="00114128"/>
    <w:rsid w:val="001165C5"/>
    <w:rsid w:val="001169D5"/>
    <w:rsid w:val="0013402B"/>
    <w:rsid w:val="0013628D"/>
    <w:rsid w:val="00137869"/>
    <w:rsid w:val="00144E4F"/>
    <w:rsid w:val="00151168"/>
    <w:rsid w:val="0015140F"/>
    <w:rsid w:val="00151AFB"/>
    <w:rsid w:val="00153ECC"/>
    <w:rsid w:val="00154C12"/>
    <w:rsid w:val="00161AC7"/>
    <w:rsid w:val="001664F0"/>
    <w:rsid w:val="00171C7E"/>
    <w:rsid w:val="00184E27"/>
    <w:rsid w:val="001857C5"/>
    <w:rsid w:val="001956D0"/>
    <w:rsid w:val="00196845"/>
    <w:rsid w:val="001A0ECB"/>
    <w:rsid w:val="001A327F"/>
    <w:rsid w:val="001B0B89"/>
    <w:rsid w:val="001B24DC"/>
    <w:rsid w:val="001B54B8"/>
    <w:rsid w:val="001B7AA1"/>
    <w:rsid w:val="001C083B"/>
    <w:rsid w:val="001D2482"/>
    <w:rsid w:val="001D255B"/>
    <w:rsid w:val="001D40F9"/>
    <w:rsid w:val="001D7700"/>
    <w:rsid w:val="001E44F0"/>
    <w:rsid w:val="001E54E2"/>
    <w:rsid w:val="001F3193"/>
    <w:rsid w:val="001F6B94"/>
    <w:rsid w:val="001F7170"/>
    <w:rsid w:val="0020177D"/>
    <w:rsid w:val="00204168"/>
    <w:rsid w:val="002073CC"/>
    <w:rsid w:val="00207424"/>
    <w:rsid w:val="00210309"/>
    <w:rsid w:val="00211702"/>
    <w:rsid w:val="00213453"/>
    <w:rsid w:val="0021490D"/>
    <w:rsid w:val="00221358"/>
    <w:rsid w:val="002241A1"/>
    <w:rsid w:val="00227E95"/>
    <w:rsid w:val="002338E8"/>
    <w:rsid w:val="00233AF6"/>
    <w:rsid w:val="00235E39"/>
    <w:rsid w:val="002410D5"/>
    <w:rsid w:val="00242EB8"/>
    <w:rsid w:val="00245E10"/>
    <w:rsid w:val="00245EDC"/>
    <w:rsid w:val="0025441C"/>
    <w:rsid w:val="002546AD"/>
    <w:rsid w:val="00264CBA"/>
    <w:rsid w:val="00270117"/>
    <w:rsid w:val="00270D75"/>
    <w:rsid w:val="00276BE3"/>
    <w:rsid w:val="00284D1F"/>
    <w:rsid w:val="00287372"/>
    <w:rsid w:val="002A3E65"/>
    <w:rsid w:val="002A6EBB"/>
    <w:rsid w:val="002A70E0"/>
    <w:rsid w:val="002B00EC"/>
    <w:rsid w:val="002B4FD8"/>
    <w:rsid w:val="002C6765"/>
    <w:rsid w:val="002C7D9C"/>
    <w:rsid w:val="002D70E9"/>
    <w:rsid w:val="002E1D92"/>
    <w:rsid w:val="002E5E5F"/>
    <w:rsid w:val="002F051A"/>
    <w:rsid w:val="002F4EC1"/>
    <w:rsid w:val="002F6918"/>
    <w:rsid w:val="00300CE4"/>
    <w:rsid w:val="00316981"/>
    <w:rsid w:val="00316BF6"/>
    <w:rsid w:val="00317AF6"/>
    <w:rsid w:val="00320B6E"/>
    <w:rsid w:val="00325720"/>
    <w:rsid w:val="00330D26"/>
    <w:rsid w:val="003311B9"/>
    <w:rsid w:val="0033188C"/>
    <w:rsid w:val="003356EE"/>
    <w:rsid w:val="00335A4A"/>
    <w:rsid w:val="00343A83"/>
    <w:rsid w:val="003508D1"/>
    <w:rsid w:val="00356338"/>
    <w:rsid w:val="003575E7"/>
    <w:rsid w:val="00370539"/>
    <w:rsid w:val="00377477"/>
    <w:rsid w:val="003778CA"/>
    <w:rsid w:val="003941ED"/>
    <w:rsid w:val="00395DAF"/>
    <w:rsid w:val="003A0349"/>
    <w:rsid w:val="003A35F3"/>
    <w:rsid w:val="003A461E"/>
    <w:rsid w:val="003B0427"/>
    <w:rsid w:val="003B3C1C"/>
    <w:rsid w:val="003C2DF4"/>
    <w:rsid w:val="003C3608"/>
    <w:rsid w:val="003C5670"/>
    <w:rsid w:val="003C5D87"/>
    <w:rsid w:val="003C77D0"/>
    <w:rsid w:val="003D1E54"/>
    <w:rsid w:val="003E587C"/>
    <w:rsid w:val="003E62CD"/>
    <w:rsid w:val="003F0AE5"/>
    <w:rsid w:val="0040304E"/>
    <w:rsid w:val="004114A5"/>
    <w:rsid w:val="00412E4F"/>
    <w:rsid w:val="00432BFC"/>
    <w:rsid w:val="004342C8"/>
    <w:rsid w:val="00436848"/>
    <w:rsid w:val="00437E25"/>
    <w:rsid w:val="004523F4"/>
    <w:rsid w:val="00453012"/>
    <w:rsid w:val="00453294"/>
    <w:rsid w:val="0046155E"/>
    <w:rsid w:val="004618FD"/>
    <w:rsid w:val="0046236D"/>
    <w:rsid w:val="004648EF"/>
    <w:rsid w:val="00472A81"/>
    <w:rsid w:val="00472EB2"/>
    <w:rsid w:val="00472FF9"/>
    <w:rsid w:val="00475E87"/>
    <w:rsid w:val="00490FFB"/>
    <w:rsid w:val="0049101C"/>
    <w:rsid w:val="00491396"/>
    <w:rsid w:val="00493042"/>
    <w:rsid w:val="004952C8"/>
    <w:rsid w:val="0049629B"/>
    <w:rsid w:val="004964E2"/>
    <w:rsid w:val="004A2600"/>
    <w:rsid w:val="004A2B67"/>
    <w:rsid w:val="004A5018"/>
    <w:rsid w:val="004A6B58"/>
    <w:rsid w:val="004B0A4A"/>
    <w:rsid w:val="004B67E2"/>
    <w:rsid w:val="004C4B48"/>
    <w:rsid w:val="004C6BB5"/>
    <w:rsid w:val="004C700A"/>
    <w:rsid w:val="004D08CA"/>
    <w:rsid w:val="004D0FE2"/>
    <w:rsid w:val="004D1040"/>
    <w:rsid w:val="004E37EC"/>
    <w:rsid w:val="004E62C3"/>
    <w:rsid w:val="004F241C"/>
    <w:rsid w:val="004F3594"/>
    <w:rsid w:val="00500363"/>
    <w:rsid w:val="0050421E"/>
    <w:rsid w:val="005113B4"/>
    <w:rsid w:val="0051151D"/>
    <w:rsid w:val="00521B16"/>
    <w:rsid w:val="00522A79"/>
    <w:rsid w:val="00522DF4"/>
    <w:rsid w:val="00526844"/>
    <w:rsid w:val="005307C0"/>
    <w:rsid w:val="00532053"/>
    <w:rsid w:val="00534C10"/>
    <w:rsid w:val="005352D1"/>
    <w:rsid w:val="005400E6"/>
    <w:rsid w:val="00541646"/>
    <w:rsid w:val="0054342A"/>
    <w:rsid w:val="00547657"/>
    <w:rsid w:val="0054770F"/>
    <w:rsid w:val="0055301D"/>
    <w:rsid w:val="00557640"/>
    <w:rsid w:val="005600EE"/>
    <w:rsid w:val="005656C0"/>
    <w:rsid w:val="0056596C"/>
    <w:rsid w:val="00571AC0"/>
    <w:rsid w:val="00571E13"/>
    <w:rsid w:val="005728A1"/>
    <w:rsid w:val="00584678"/>
    <w:rsid w:val="00584F95"/>
    <w:rsid w:val="0058505F"/>
    <w:rsid w:val="005857EB"/>
    <w:rsid w:val="005936F3"/>
    <w:rsid w:val="00596E50"/>
    <w:rsid w:val="00597E56"/>
    <w:rsid w:val="005A454F"/>
    <w:rsid w:val="005B04FC"/>
    <w:rsid w:val="005B1650"/>
    <w:rsid w:val="005B21D0"/>
    <w:rsid w:val="005B2CBF"/>
    <w:rsid w:val="005B6C70"/>
    <w:rsid w:val="005C4DCB"/>
    <w:rsid w:val="005C4E6B"/>
    <w:rsid w:val="005C6C1F"/>
    <w:rsid w:val="005D0E27"/>
    <w:rsid w:val="005D6700"/>
    <w:rsid w:val="005E4966"/>
    <w:rsid w:val="00600C89"/>
    <w:rsid w:val="00611B9B"/>
    <w:rsid w:val="006173C0"/>
    <w:rsid w:val="00625356"/>
    <w:rsid w:val="00625CD4"/>
    <w:rsid w:val="00630626"/>
    <w:rsid w:val="00630977"/>
    <w:rsid w:val="00636239"/>
    <w:rsid w:val="00636AB4"/>
    <w:rsid w:val="006438F7"/>
    <w:rsid w:val="0064514A"/>
    <w:rsid w:val="00652401"/>
    <w:rsid w:val="00653A93"/>
    <w:rsid w:val="006548B0"/>
    <w:rsid w:val="006548BE"/>
    <w:rsid w:val="00656312"/>
    <w:rsid w:val="00656BE1"/>
    <w:rsid w:val="00657677"/>
    <w:rsid w:val="00665F07"/>
    <w:rsid w:val="00667A04"/>
    <w:rsid w:val="00697E70"/>
    <w:rsid w:val="006A0D93"/>
    <w:rsid w:val="006A3523"/>
    <w:rsid w:val="006A7070"/>
    <w:rsid w:val="006B1E4A"/>
    <w:rsid w:val="006B6777"/>
    <w:rsid w:val="006C2777"/>
    <w:rsid w:val="006D115D"/>
    <w:rsid w:val="006D2BA5"/>
    <w:rsid w:val="006D617F"/>
    <w:rsid w:val="006E22D7"/>
    <w:rsid w:val="006E45A7"/>
    <w:rsid w:val="006F26F0"/>
    <w:rsid w:val="006F5598"/>
    <w:rsid w:val="006F5B32"/>
    <w:rsid w:val="006F7902"/>
    <w:rsid w:val="00701EA1"/>
    <w:rsid w:val="007044E6"/>
    <w:rsid w:val="00711EA5"/>
    <w:rsid w:val="00715EC2"/>
    <w:rsid w:val="00717BED"/>
    <w:rsid w:val="007211F5"/>
    <w:rsid w:val="00722944"/>
    <w:rsid w:val="00725CC9"/>
    <w:rsid w:val="007400A4"/>
    <w:rsid w:val="00746822"/>
    <w:rsid w:val="00752D9B"/>
    <w:rsid w:val="00756028"/>
    <w:rsid w:val="00757864"/>
    <w:rsid w:val="00777193"/>
    <w:rsid w:val="007838D5"/>
    <w:rsid w:val="007A31F0"/>
    <w:rsid w:val="007A4180"/>
    <w:rsid w:val="007A47BC"/>
    <w:rsid w:val="007A5DBE"/>
    <w:rsid w:val="007A6CCF"/>
    <w:rsid w:val="007B0179"/>
    <w:rsid w:val="007B0385"/>
    <w:rsid w:val="007B0D76"/>
    <w:rsid w:val="007B34F5"/>
    <w:rsid w:val="007B38F8"/>
    <w:rsid w:val="007B6D6D"/>
    <w:rsid w:val="007C05C9"/>
    <w:rsid w:val="007D6D4B"/>
    <w:rsid w:val="007E0C51"/>
    <w:rsid w:val="007E247C"/>
    <w:rsid w:val="007E7C3C"/>
    <w:rsid w:val="00803D7B"/>
    <w:rsid w:val="00804441"/>
    <w:rsid w:val="00810D3B"/>
    <w:rsid w:val="008114D6"/>
    <w:rsid w:val="00816DA2"/>
    <w:rsid w:val="00821365"/>
    <w:rsid w:val="00826932"/>
    <w:rsid w:val="00830395"/>
    <w:rsid w:val="00830D5F"/>
    <w:rsid w:val="00836D93"/>
    <w:rsid w:val="00853098"/>
    <w:rsid w:val="00855A36"/>
    <w:rsid w:val="00870BF3"/>
    <w:rsid w:val="00876FF2"/>
    <w:rsid w:val="00880A69"/>
    <w:rsid w:val="0088683B"/>
    <w:rsid w:val="008876CA"/>
    <w:rsid w:val="0089094C"/>
    <w:rsid w:val="00892E14"/>
    <w:rsid w:val="00894644"/>
    <w:rsid w:val="0089583D"/>
    <w:rsid w:val="00897B54"/>
    <w:rsid w:val="008A03D1"/>
    <w:rsid w:val="008B2D8F"/>
    <w:rsid w:val="008B3732"/>
    <w:rsid w:val="008B3CCB"/>
    <w:rsid w:val="008C3321"/>
    <w:rsid w:val="008C598C"/>
    <w:rsid w:val="008C7A1E"/>
    <w:rsid w:val="008D1922"/>
    <w:rsid w:val="008D48D3"/>
    <w:rsid w:val="008D7E08"/>
    <w:rsid w:val="008F6C71"/>
    <w:rsid w:val="008F7A7F"/>
    <w:rsid w:val="0090668C"/>
    <w:rsid w:val="009107CD"/>
    <w:rsid w:val="00915A08"/>
    <w:rsid w:val="0093122B"/>
    <w:rsid w:val="00931CDA"/>
    <w:rsid w:val="00931D39"/>
    <w:rsid w:val="00933085"/>
    <w:rsid w:val="00936097"/>
    <w:rsid w:val="00936BB9"/>
    <w:rsid w:val="0093704D"/>
    <w:rsid w:val="00941CD2"/>
    <w:rsid w:val="009554C3"/>
    <w:rsid w:val="00981421"/>
    <w:rsid w:val="009819E5"/>
    <w:rsid w:val="00984404"/>
    <w:rsid w:val="00987AEA"/>
    <w:rsid w:val="009A2F7B"/>
    <w:rsid w:val="009A35D3"/>
    <w:rsid w:val="009A4722"/>
    <w:rsid w:val="009B115F"/>
    <w:rsid w:val="009B5923"/>
    <w:rsid w:val="009B5DFC"/>
    <w:rsid w:val="009C5A6D"/>
    <w:rsid w:val="009D0889"/>
    <w:rsid w:val="009D4F32"/>
    <w:rsid w:val="009D4F3D"/>
    <w:rsid w:val="009D58A2"/>
    <w:rsid w:val="009D61C1"/>
    <w:rsid w:val="009E0628"/>
    <w:rsid w:val="009E43EE"/>
    <w:rsid w:val="009F10B0"/>
    <w:rsid w:val="009F1B04"/>
    <w:rsid w:val="009F3A12"/>
    <w:rsid w:val="009F794F"/>
    <w:rsid w:val="00A00010"/>
    <w:rsid w:val="00A0100B"/>
    <w:rsid w:val="00A05AD0"/>
    <w:rsid w:val="00A0741E"/>
    <w:rsid w:val="00A11934"/>
    <w:rsid w:val="00A12397"/>
    <w:rsid w:val="00A12A16"/>
    <w:rsid w:val="00A2101E"/>
    <w:rsid w:val="00A211A5"/>
    <w:rsid w:val="00A22099"/>
    <w:rsid w:val="00A23A3E"/>
    <w:rsid w:val="00A272A3"/>
    <w:rsid w:val="00A3048D"/>
    <w:rsid w:val="00A427A6"/>
    <w:rsid w:val="00A461A7"/>
    <w:rsid w:val="00A526ED"/>
    <w:rsid w:val="00A56008"/>
    <w:rsid w:val="00A60681"/>
    <w:rsid w:val="00A71DF9"/>
    <w:rsid w:val="00A82EDE"/>
    <w:rsid w:val="00A847C7"/>
    <w:rsid w:val="00A8659E"/>
    <w:rsid w:val="00A92B7E"/>
    <w:rsid w:val="00A94D53"/>
    <w:rsid w:val="00AA30FB"/>
    <w:rsid w:val="00AB118E"/>
    <w:rsid w:val="00AB2D17"/>
    <w:rsid w:val="00AB6F62"/>
    <w:rsid w:val="00AC18E0"/>
    <w:rsid w:val="00AD2731"/>
    <w:rsid w:val="00AD795C"/>
    <w:rsid w:val="00AD7D78"/>
    <w:rsid w:val="00AF3091"/>
    <w:rsid w:val="00AF3ABE"/>
    <w:rsid w:val="00B01626"/>
    <w:rsid w:val="00B0444B"/>
    <w:rsid w:val="00B113A4"/>
    <w:rsid w:val="00B1278D"/>
    <w:rsid w:val="00B20FEA"/>
    <w:rsid w:val="00B23730"/>
    <w:rsid w:val="00B31A66"/>
    <w:rsid w:val="00B31FB0"/>
    <w:rsid w:val="00B32DC7"/>
    <w:rsid w:val="00B3574A"/>
    <w:rsid w:val="00B43450"/>
    <w:rsid w:val="00B51810"/>
    <w:rsid w:val="00B5386F"/>
    <w:rsid w:val="00B57119"/>
    <w:rsid w:val="00B60002"/>
    <w:rsid w:val="00B713F5"/>
    <w:rsid w:val="00B747FB"/>
    <w:rsid w:val="00B772AD"/>
    <w:rsid w:val="00B82B28"/>
    <w:rsid w:val="00B842CB"/>
    <w:rsid w:val="00B849A8"/>
    <w:rsid w:val="00B96E57"/>
    <w:rsid w:val="00B977AC"/>
    <w:rsid w:val="00BA1118"/>
    <w:rsid w:val="00BA6D41"/>
    <w:rsid w:val="00BB095C"/>
    <w:rsid w:val="00BB1FE7"/>
    <w:rsid w:val="00BB263E"/>
    <w:rsid w:val="00BB7825"/>
    <w:rsid w:val="00BC1CAF"/>
    <w:rsid w:val="00BD23DC"/>
    <w:rsid w:val="00BD7482"/>
    <w:rsid w:val="00BE2940"/>
    <w:rsid w:val="00BE4008"/>
    <w:rsid w:val="00BE4FA1"/>
    <w:rsid w:val="00C00751"/>
    <w:rsid w:val="00C04FCA"/>
    <w:rsid w:val="00C12389"/>
    <w:rsid w:val="00C1498F"/>
    <w:rsid w:val="00C17ADE"/>
    <w:rsid w:val="00C22D62"/>
    <w:rsid w:val="00C238D1"/>
    <w:rsid w:val="00C35D1C"/>
    <w:rsid w:val="00C36B65"/>
    <w:rsid w:val="00C442DE"/>
    <w:rsid w:val="00C45055"/>
    <w:rsid w:val="00C500F7"/>
    <w:rsid w:val="00C50DF7"/>
    <w:rsid w:val="00C52550"/>
    <w:rsid w:val="00C5692D"/>
    <w:rsid w:val="00C62F7C"/>
    <w:rsid w:val="00C632F5"/>
    <w:rsid w:val="00C66554"/>
    <w:rsid w:val="00C66893"/>
    <w:rsid w:val="00C71534"/>
    <w:rsid w:val="00C72AE4"/>
    <w:rsid w:val="00C74DAA"/>
    <w:rsid w:val="00C75393"/>
    <w:rsid w:val="00C81925"/>
    <w:rsid w:val="00C81EF3"/>
    <w:rsid w:val="00C829C1"/>
    <w:rsid w:val="00C8361B"/>
    <w:rsid w:val="00C86569"/>
    <w:rsid w:val="00C8744B"/>
    <w:rsid w:val="00C90CBA"/>
    <w:rsid w:val="00C92571"/>
    <w:rsid w:val="00C93BDF"/>
    <w:rsid w:val="00C942CC"/>
    <w:rsid w:val="00C95CD8"/>
    <w:rsid w:val="00CA2D88"/>
    <w:rsid w:val="00CA2DB0"/>
    <w:rsid w:val="00CB0A19"/>
    <w:rsid w:val="00CB224A"/>
    <w:rsid w:val="00CB2836"/>
    <w:rsid w:val="00CB67B8"/>
    <w:rsid w:val="00CC0D6D"/>
    <w:rsid w:val="00CC3397"/>
    <w:rsid w:val="00CC4D40"/>
    <w:rsid w:val="00CC6486"/>
    <w:rsid w:val="00CE1ADB"/>
    <w:rsid w:val="00CF0D50"/>
    <w:rsid w:val="00CF2A85"/>
    <w:rsid w:val="00CF3A92"/>
    <w:rsid w:val="00CF5B4F"/>
    <w:rsid w:val="00D054D8"/>
    <w:rsid w:val="00D0558F"/>
    <w:rsid w:val="00D117A3"/>
    <w:rsid w:val="00D1606A"/>
    <w:rsid w:val="00D2147D"/>
    <w:rsid w:val="00D21F82"/>
    <w:rsid w:val="00D24B66"/>
    <w:rsid w:val="00D27C2A"/>
    <w:rsid w:val="00D324FE"/>
    <w:rsid w:val="00D35BF7"/>
    <w:rsid w:val="00D43F0E"/>
    <w:rsid w:val="00D4511C"/>
    <w:rsid w:val="00D51DB9"/>
    <w:rsid w:val="00D56B23"/>
    <w:rsid w:val="00D70F5D"/>
    <w:rsid w:val="00D82F5C"/>
    <w:rsid w:val="00D8593F"/>
    <w:rsid w:val="00D859E1"/>
    <w:rsid w:val="00D93D23"/>
    <w:rsid w:val="00D96548"/>
    <w:rsid w:val="00DA2D8A"/>
    <w:rsid w:val="00DA3177"/>
    <w:rsid w:val="00DB7BFA"/>
    <w:rsid w:val="00DC252A"/>
    <w:rsid w:val="00DD5A33"/>
    <w:rsid w:val="00DE211C"/>
    <w:rsid w:val="00DF0506"/>
    <w:rsid w:val="00DF2394"/>
    <w:rsid w:val="00DF616C"/>
    <w:rsid w:val="00E1252F"/>
    <w:rsid w:val="00E16C19"/>
    <w:rsid w:val="00E16CB2"/>
    <w:rsid w:val="00E16F46"/>
    <w:rsid w:val="00E25588"/>
    <w:rsid w:val="00E278DD"/>
    <w:rsid w:val="00E335FA"/>
    <w:rsid w:val="00E375E5"/>
    <w:rsid w:val="00E45525"/>
    <w:rsid w:val="00E5146D"/>
    <w:rsid w:val="00E52283"/>
    <w:rsid w:val="00E5597B"/>
    <w:rsid w:val="00E61E48"/>
    <w:rsid w:val="00E62E6D"/>
    <w:rsid w:val="00E62FD5"/>
    <w:rsid w:val="00E65789"/>
    <w:rsid w:val="00E722CE"/>
    <w:rsid w:val="00E744A4"/>
    <w:rsid w:val="00E74704"/>
    <w:rsid w:val="00E81014"/>
    <w:rsid w:val="00E84605"/>
    <w:rsid w:val="00E8526C"/>
    <w:rsid w:val="00E906CD"/>
    <w:rsid w:val="00E95C54"/>
    <w:rsid w:val="00E9775F"/>
    <w:rsid w:val="00EA3D95"/>
    <w:rsid w:val="00EA5787"/>
    <w:rsid w:val="00EA7672"/>
    <w:rsid w:val="00EB1673"/>
    <w:rsid w:val="00EC6BC8"/>
    <w:rsid w:val="00EC7BCD"/>
    <w:rsid w:val="00ED3B3D"/>
    <w:rsid w:val="00ED3D10"/>
    <w:rsid w:val="00ED563F"/>
    <w:rsid w:val="00ED6F00"/>
    <w:rsid w:val="00ED73E0"/>
    <w:rsid w:val="00EF4282"/>
    <w:rsid w:val="00EF7242"/>
    <w:rsid w:val="00F1342D"/>
    <w:rsid w:val="00F16549"/>
    <w:rsid w:val="00F404E5"/>
    <w:rsid w:val="00F46358"/>
    <w:rsid w:val="00F5416A"/>
    <w:rsid w:val="00F56AFD"/>
    <w:rsid w:val="00F635C5"/>
    <w:rsid w:val="00F71A84"/>
    <w:rsid w:val="00F71FE6"/>
    <w:rsid w:val="00F720E0"/>
    <w:rsid w:val="00F743FD"/>
    <w:rsid w:val="00F749C2"/>
    <w:rsid w:val="00F83D37"/>
    <w:rsid w:val="00F86842"/>
    <w:rsid w:val="00F874CF"/>
    <w:rsid w:val="00F90CF3"/>
    <w:rsid w:val="00F921D0"/>
    <w:rsid w:val="00F9228C"/>
    <w:rsid w:val="00FA3D7D"/>
    <w:rsid w:val="00FA49D8"/>
    <w:rsid w:val="00FA7DD1"/>
    <w:rsid w:val="00FB0863"/>
    <w:rsid w:val="00FB0E2B"/>
    <w:rsid w:val="00FB49CD"/>
    <w:rsid w:val="00FC0A9B"/>
    <w:rsid w:val="00FC1464"/>
    <w:rsid w:val="00FC53C3"/>
    <w:rsid w:val="00FC7BFA"/>
    <w:rsid w:val="00FD68BA"/>
    <w:rsid w:val="00FD7DB3"/>
    <w:rsid w:val="00FE1D1F"/>
    <w:rsid w:val="00FE424E"/>
    <w:rsid w:val="00FE52BB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C29F-17BF-47E2-8578-786B82D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0A1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Обыч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Жир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b/>
      <w:sz w:val="28"/>
      <w:szCs w:val="28"/>
      <w:lang w:eastAsia="ru-RU"/>
    </w:rPr>
  </w:style>
  <w:style w:type="paragraph" w:customStyle="1" w:styleId="a5">
    <w:name w:val="Таблица лев"/>
    <w:basedOn w:val="a"/>
    <w:uiPriority w:val="99"/>
    <w:qFormat/>
    <w:rsid w:val="00DB7BF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0308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styleId="a6">
    <w:name w:val="footnote text"/>
    <w:aliases w:val="Table_Footnote_last Знак,Table_Footnote_last Знак Знак,Table_Footnote_last,Текст сноски Знак1 Знак,Текст сноски Знак Знак Знак,Footnote Text Char Знак Знак,Footnote Text Char Знак,Текст сноски-FN,Table_Footnote_last Знак Знак Знак,Зн"/>
    <w:basedOn w:val="a"/>
    <w:link w:val="a7"/>
    <w:uiPriority w:val="99"/>
    <w:semiHidden/>
    <w:rsid w:val="000A18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 Знак1,Table_Footnote_last Знак Знак Знак1,Table_Footnote_last Знак1,Текст сноски Знак1 Знак Знак,Текст сноски Знак Знак Знак Знак,Footnote Text Char Знак Знак Знак,Footnote Text Char Знак Знак1,Зн Знак"/>
    <w:link w:val="a6"/>
    <w:uiPriority w:val="99"/>
    <w:semiHidden/>
    <w:rsid w:val="000A18C7"/>
    <w:rPr>
      <w:lang w:eastAsia="en-US"/>
    </w:rPr>
  </w:style>
  <w:style w:type="character" w:styleId="a8">
    <w:name w:val="footnote reference"/>
    <w:aliases w:val="Знак сноски 1"/>
    <w:uiPriority w:val="99"/>
    <w:semiHidden/>
    <w:rsid w:val="000A18C7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D054D8"/>
    <w:pPr>
      <w:ind w:left="720"/>
      <w:contextualSpacing/>
    </w:pPr>
    <w:rPr>
      <w:szCs w:val="22"/>
    </w:rPr>
  </w:style>
  <w:style w:type="paragraph" w:customStyle="1" w:styleId="Default">
    <w:name w:val="Default"/>
    <w:rsid w:val="00A119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a">
    <w:name w:val="Таблица центр"/>
    <w:basedOn w:val="a"/>
    <w:qFormat/>
    <w:rsid w:val="00094077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b">
    <w:name w:val="Основной текст_"/>
    <w:link w:val="1"/>
    <w:uiPriority w:val="99"/>
    <w:locked/>
    <w:rsid w:val="00C90CBA"/>
    <w:rPr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90CBA"/>
    <w:pPr>
      <w:widowControl w:val="0"/>
      <w:shd w:val="clear" w:color="auto" w:fill="FFFFFF"/>
      <w:spacing w:before="300" w:after="0" w:line="293" w:lineRule="exact"/>
      <w:ind w:firstLine="709"/>
      <w:jc w:val="both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D748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482"/>
    <w:pPr>
      <w:widowControl w:val="0"/>
      <w:shd w:val="clear" w:color="auto" w:fill="FFFFFF"/>
      <w:spacing w:after="0" w:line="298" w:lineRule="exact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330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DE35-EED6-4E89-B374-D6203AB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2020-01-17T06:28:00Z</cp:lastPrinted>
  <dcterms:created xsi:type="dcterms:W3CDTF">2020-01-29T03:55:00Z</dcterms:created>
  <dcterms:modified xsi:type="dcterms:W3CDTF">2020-01-29T03:55:00Z</dcterms:modified>
</cp:coreProperties>
</file>